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f1c89a1906f485cbed736ed224f5992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节前最后一次直播的轻松互动与股市操作策略答疑，重点解析了B1/B2/B3买入时机、单针下20/30补票战法、偏见规避、图形优先选股逻辑及市场阶段动态适配原则，并强调坚持正确路径、摒弃杂音、持续练习的核心投资心法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667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463a4d3facb49a28f7fc3b1ad30542f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节前安排与直播调整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0f5deb-b666-4a3e-8d82-dc790e5b980a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春节休播计划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本次为节前最后一次直播，周日（28号）休播，大年初三（19号）恢复，初三起加大训练强度。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7c1b5e-c848-4e07-921b-311eb3a5f8c0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时间确认与行程说明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确认周日为农历廿八，除夕为十六，春节为十七，十八回北京，十九（初三）正式开课。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d32fe6-9820-4ecd-822c-d94e49cd54d4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观众关怀提示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鼓励观众安心陪家人、回家团聚，强调“人民满意很重要”。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990b4a362804e0a9baee0a8db62efd9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设备调试与形象调整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3e8dce-988e-40a5-979a-51d1fa3424ed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画面问题反馈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顶灯导致画面过白、五官失真、皱纹消失，美颜为默认开启但效果异常。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387dea-9235-48fb-8266-ae7d207433e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解决方案尝试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尝试关闭顶灯后画面过暗；最终决定更换服装以改善观感。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a0b83d-7f33-4e4f-b8d8-ca90b4d5d22a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服装更换过程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从衣柜中选出曼联红色球衣（发紫色调），确认为穆里尼奥执教时期款式；强调“红三兵”视觉效果。</w:t>
      </w:r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1ead4f5e13540e9b3b7f84e37d933b4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节前氛围与心态引导 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4310f0-7e0b-44d2-aed7-885c8ffd99bc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类比寒假期末场景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将节前状态比作“期末考完、即将放寒假”，师生均“无心恋战”，故以答疑为主。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3220c3-e6d6-4ab6-bed2-2e2de118bad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答疑定位说明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定义本次直播为“错题本式复盘”，聚焦细节补充与高频问题集中解答。</w:t>
      </w:r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a5ad7d57b0b4dafaccde824ada2a795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市场阶段特征分析 </w:t>
      </w:r>
      <w:bookmarkEnd w:id="101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88fe38-1750-4686-9f3f-97986e8d6469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节前资金行为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大资金已离场休假，仅剩量化团队、实习生及部分散户博弈，呈现“无人卖→价格自然上涨”特征。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9ff98b-54b9-49b3-b5d6-29038f0338de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煤炭板块逻辑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因抛压枯竭而上涨，属防守型品种，非进攻主力。</w:t>
      </w:r>
      <w:bookmarkEnd w:id="101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c72dd202a2241259c1a38a99ab31a1c" w:id="101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个股实战案例复盘 </w:t>
      </w:r>
      <w:bookmarkEnd w:id="101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fe8f356-18ea-4d65-ac1e-6159ed507d6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长飞光纤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一月涨幅显著，作业显示多人自低位持有至今；强调“图形完美即干，不纠结盘子大小”。</w:t>
      </w:r>
      <w:bookmarkEnd w:id="101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910075b-c3f2-456a-92d0-96a660e0511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亨通光电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位置启动明确，虽中途被洗，但坚定持有者收获可观。</w:t>
      </w:r>
      <w:bookmarkEnd w:id="101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d3b146f-82b8-42b9-bd5b-672f4cd7c6e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万隆股份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异动启动后击穿对手盘，实现翻倍；图形特征：第一波缩量、第二波放量、顶部缩半量、1:1回踩完美。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d94bda-3935-4991-9bb7-6c0ad2931eb7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戴美医疗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B2倍量柱启动（1月14日），振幅3.55%小十字星，牵牛绳拉升30%；B2为当前高效买点。</w:t>
      </w:r>
      <w:bookmarkEnd w:id="102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9b4442-3ad3-49fe-8ae0-d1ef58b9d008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光线传媒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B1介入稍早，需结合题材与板块判断；金叉结构（白线在黄线上方）提供支撑依据。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7e4290-ecf6-424e-84b5-704c08ac68e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新前锋 vs 高原传媒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图形高度相似，均现金叉，验证“图形优先”原则；提醒避免因名称/板块产生认知偏见。</w:t>
      </w:r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091513684644d3d8c000efe444749a0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核心交易方法论 </w:t>
      </w:r>
      <w:bookmarkEnd w:id="102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fcdb00-fe83-4808-9662-6135a987f187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B1/B2/B3动态适配逻辑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d06b830-5d3f-4554-b007-eddfe3ada40a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B1：市场底部启动期，资金轮动至低价股；</w:t>
      </w:r>
      <w:bookmarkEnd w:id="102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d4c973-4ada-408d-9bf7-7a9d88b861f9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B2：底部票减少后，转向突破形态；</w:t>
      </w:r>
      <w:bookmarkEnd w:id="102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24eea7-0359-4af2-a499-0b878bc93bf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B3：主升加速期，控盘深化；</w:t>
      </w:r>
      <w:bookmarkEnd w:id="102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f33750-26f2-4ce5-b528-720485a5bfd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单针下20/30：主升中后期补票战法，应对“无B1可选”局面。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4edef9-674a-4a96-ad69-c268449e9e63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市值策略演进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初期专注小市值（100名内），后因波动率高、走出率低，逐步加入50亿市值下限风控。</w:t>
      </w:r>
      <w:bookmarkEnd w:id="103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5d58f2-fbe2-448d-b5c5-e85285161c73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偏见规避实操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选股时遮蔽股票名称与板块信息，纯凭左侧图形美观度筛选，降低主观干扰。</w:t>
      </w:r>
      <w:bookmarkEnd w:id="103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632b3bb7e36482dabc53315b9905767" w:id="103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投资心法与认知升级 </w:t>
      </w:r>
      <w:bookmarkEnd w:id="103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faa02be-63fe-400b-a43a-c92aacc64844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三大成功要素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一、走在正确道路上；二、摒弃杂音（如古巴等无效信息源）；三、坚持（学习、选股、交易、止损、练习）。</w:t>
      </w:r>
      <w:bookmarkEnd w:id="103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97502cd-b671-4bdc-ab5f-8cd280da56a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市场本质认知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“怎么说都是对的”——历史、新闻、现实皆具多义性；盈利关键在于建立稳定系统而非寻求唯一真理。</w:t>
      </w:r>
      <w:bookmarkEnd w:id="103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ccae3b-043f-4c50-8d3a-0448c009d03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盈亏同源原理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小盘股波动剧烈（十日跌30%），大盘股相对温和（农行十日跌8%），选择需匹配自身承受力。</w:t>
      </w:r>
      <w:bookmarkEnd w:id="103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663dad-bdd9-44fc-896b-68aa69ffa7e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反脆弱成长观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新人未盈利属正常过程，老粉ID多源自去年6-7月或924之后；强调“三年学不会北大”的务实预期。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fc6ef0da79f47eb87fb555d638c1cdb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风险控制与纪律重申 </w:t>
      </w:r>
      <w:bookmarkEnd w:id="103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f87b0f-5b7c-421f-8ea6-12f9aa3b1fa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活跃市值转绿即“手紧”，执行只卖不买；若强行动用仓位，须严守1600台费/400台费硬约束。</w:t>
      </w:r>
      <w:bookmarkEnd w:id="103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2adc70f-dbf3-4e57-b933-f3171289d141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自我归因原则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“不服市场、不服他人，终将亏损”；盈利者必先问“为何未选中此票”，从自身找原因。</w:t>
      </w:r>
      <w:bookmarkEnd w:id="103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5d771c-1557-4dd1-b49a-6bdd4800a3cd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图形判定标准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S1假阴真阳有效，但需警惕过度解读；核心仍是主力洗盘意图识别，而非机械套用形态。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79f9b4a06b64c59a920a9539826f5cc" w:id="10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2026-02-12T00:39:51Z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4mFwZipWKfzD4FPKp43iTYOcDTZFsc0zaTKmo5PKyu4=","ProduceID":"ai_zongjie:81abe9dc4bca42a6991d5b6cd6486785","ReservedCode2":"4mFwZipWKfzD4FPKp43iTYOcDTZFsc0zaTKmo5PKyu4=","PropagateID":"ai_zongjie:81abe9dc4bca42a6991d5b6cd6486785","ContentProducer":"001191440101MA9Y9T4H7A00000"}</vt:lpwstr>
  </property>
</Properties>
</file>