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ICE24 OS</w:t>
      </w:r>
    </w:p>
    <w:p>
      <w:pPr>
        <w:pStyle w:val="Title"/>
      </w:pPr>
      <w:r>
        <w:t>Documentación de la fase 5</w:t>
      </w:r>
    </w:p>
    <w:p>
      <w:pPr>
        <w:pStyle w:val="Subtitle"/>
      </w:pPr>
      <w:r>
        <w:t>Servicios transversales</w:t>
      </w:r>
    </w:p>
    <w:p>
      <w:r>
        <w:t>Suscripciones, auditoría, archivos, trabajos y notificaciones</w:t>
      </w:r>
    </w:p>
    <w:p>
      <w:r/>
      <w:r>
        <w:rPr>
          <w:b/>
        </w:rPr>
        <w:t>Dictamen registrado:</w:t>
      </w:r>
      <w:r>
        <w:t xml:space="preserve"> aprobado con pendientes externos. El cierre técnico permite continuar la Fase 6 en desarrollo; la operación productiva requiere resolver los pendientes y obtener la ratificación de los responsables.</w:t>
      </w:r>
    </w:p>
    <w:p>
      <w:r/>
      <w:r>
        <w:rPr>
          <w:b/>
        </w:rPr>
        <w:t>Confidencial.</w:t>
      </w:r>
      <w:r>
        <w:t xml:space="preserve"> Información propiedad intelectual de ICE24 MX.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6912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Documento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Guía consolidada de alcance, arquitectura, operación y validación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Fecha de elaboración</w:t>
            </w:r>
          </w:p>
        </w:tc>
        <w:tc>
          <w:tcPr>
            <w:tcW w:type="dxa" w:w="691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19/10/2026, America/Mexico_City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Alcance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F5-01 a F5-15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Evidencia de cierre utilizada</w:t>
            </w:r>
          </w:p>
        </w:tc>
        <w:tc>
          <w:tcPr>
            <w:tcW w:type="dxa" w:w="691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 xml:space="preserve">Gate local del 06/10/2026, revisión </w:t>
            </w:r>
            <w:r>
              <w:rPr>
                <w:rFonts w:ascii="Consolas" w:hAnsi="Consolas"/>
                <w:b w:val="0"/>
                <w:sz w:val="19"/>
              </w:rPr>
              <w:t>cdbded7</w:t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Dictamen registrado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Aprobado con pendientes externos; ratificación y firmas pendientes</w:t>
            </w:r>
          </w:p>
        </w:tc>
      </w:tr>
    </w:tbl>
    <w:p>
      <w:pPr>
        <w:spacing w:after="40"/>
      </w:pPr>
    </w:p>
    <w:p>
      <w:r>
        <w:t>Esta guía reúne la documentación de suscripciones, auditoría, archivos, trabajos y notificaciones. Los resultados citados corresponden a la corrida histórica del gate; la elaboración de este documento no constituye una nueva ejecución de pruebas ni una comprobación del despliegue actual.</w:t>
      </w:r>
    </w:p>
    <w:p>
      <w:pPr>
        <w:pStyle w:val="Heading1"/>
      </w:pPr>
      <w:r>
        <w:t>1  Objetivo y fuentes</w:t>
      </w:r>
    </w:p>
    <w:p>
      <w:r>
        <w:t>La fase proporciona los servicios compartidos que necesitan los módulos de negocio: controlar el acceso según la suscripción, conservar evidencia de acciones sensibles, procesar trabajo asíncrono, proteger archivos y comunicar alertas. El cierre técnico permite continuar la Fase 6 en desarrollo; no acredita operación productiva.</w:t>
      </w:r>
    </w:p>
    <w:p>
      <w:r>
        <w:t xml:space="preserve">El alcance normativo está en el </w:t>
      </w:r>
      <w:hyperlink r:id="rId10">
        <w:r>
          <w:rPr>
            <w:color w:val="244963"/>
            <w:u w:val="single"/>
          </w:rPr>
          <w:t>plan de implementación</w:t>
        </w:r>
      </w:hyperlink>
      <w:r>
        <w:t xml:space="preserve">, las </w:t>
      </w:r>
      <w:hyperlink r:id="rId11">
        <w:r>
          <w:rPr>
            <w:color w:val="244963"/>
            <w:u w:val="single"/>
          </w:rPr>
          <w:t>tareas</w:t>
        </w:r>
      </w:hyperlink>
      <w:r>
        <w:t xml:space="preserve"> y las </w:t>
      </w:r>
      <w:hyperlink r:id="rId12">
        <w:r>
          <w:rPr>
            <w:color w:val="244963"/>
            <w:u w:val="single"/>
          </w:rPr>
          <w:t>reglas del proyecto</w:t>
        </w:r>
      </w:hyperlink>
      <w:r>
        <w:t xml:space="preserve">. El </w:t>
      </w:r>
      <w:hyperlink r:id="rId13">
        <w:r>
          <w:rPr>
            <w:color w:val="244963"/>
            <w:u w:val="single"/>
          </w:rPr>
          <w:t>estado de Fase 5</w:t>
        </w:r>
      </w:hyperlink>
      <w:r>
        <w:t xml:space="preserve"> concentra el dictamen y los bloqueos; la </w:t>
      </w:r>
      <w:hyperlink r:id="rId14">
        <w:r>
          <w:rPr>
            <w:color w:val="244963"/>
            <w:u w:val="single"/>
          </w:rPr>
          <w:t>matriz de trazabilidad</w:t>
        </w:r>
      </w:hyperlink>
      <w:r>
        <w:t xml:space="preserve"> vincula criterios, pruebas y evidencias. Los reportes individuales conservan el estado de su fecha y deben leerse junto con ese estado consolidado.</w:t>
      </w:r>
    </w:p>
    <w:p>
      <w:r>
        <w:br w:type="page"/>
      </w:r>
    </w:p>
    <w:p>
      <w:pPr>
        <w:pStyle w:val="Heading1"/>
      </w:pPr>
      <w:r>
        <w:t>2  Entregables y documentación</w:t>
      </w:r>
    </w:p>
    <w:p>
      <w:r>
        <w:t>Las quince tareas constan como integradas en el registro de cierre.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6408"/>
        <w:gridCol w:w="2736"/>
      </w:tblGrid>
      <w:tr>
        <w:trPr>
          <w:cantSplit/>
          <w:tblHeader/>
        </w:trPr>
        <w:tc>
          <w:tcPr>
            <w:tcW w:type="dxa" w:w="936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Tarea</w:t>
            </w:r>
          </w:p>
        </w:tc>
        <w:tc>
          <w:tcPr>
            <w:tcW w:type="dxa" w:w="6408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Entrega y comportamiento</w:t>
            </w:r>
          </w:p>
        </w:tc>
        <w:tc>
          <w:tcPr>
            <w:tcW w:type="dxa" w:w="2736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Referencia técnica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15">
              <w:r>
                <w:rPr>
                  <w:color w:val="244963"/>
                  <w:u w:val="single"/>
                </w:rPr>
                <w:t>F5-01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Suscripción por cuenta, demo, historia comercial y acceso efectivo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16">
              <w:r>
                <w:rPr>
                  <w:color w:val="244963"/>
                  <w:u w:val="single"/>
                </w:rPr>
                <w:t>Suscripciones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17">
              <w:r>
                <w:rPr>
                  <w:color w:val="244963"/>
                  <w:u w:val="single"/>
                </w:rPr>
                <w:t>F5-02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Checkout y Portal de Stripe, webhooks firmados, deduplicación y reconciliación</w:t>
            </w:r>
          </w:p>
        </w:tc>
        <w:tc>
          <w:tcPr>
            <w:tcW w:type="dxa" w:w="27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18">
              <w:r>
                <w:rPr>
                  <w:color w:val="244963"/>
                  <w:u w:val="single"/>
                </w:rPr>
                <w:t>Operación de Stripe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19">
              <w:r>
                <w:rPr>
                  <w:color w:val="244963"/>
                  <w:u w:val="single"/>
                </w:rPr>
                <w:t>F5-03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Modo lectura aplicado en servidor y explicado en la interfaz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16">
              <w:r>
                <w:rPr>
                  <w:color w:val="244963"/>
                  <w:u w:val="single"/>
                </w:rPr>
                <w:t>Suscripciones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20">
              <w:r>
                <w:rPr>
                  <w:color w:val="244963"/>
                  <w:u w:val="single"/>
                </w:rPr>
                <w:t>F5-04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Auditoría central append-only y consulta autorizada</w:t>
            </w:r>
          </w:p>
        </w:tc>
        <w:tc>
          <w:tcPr>
            <w:tcW w:type="dxa" w:w="27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21">
              <w:r>
                <w:rPr>
                  <w:color w:val="244963"/>
                  <w:u w:val="single"/>
                </w:rPr>
                <w:t>Auditoría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22">
              <w:r>
                <w:rPr>
                  <w:color w:val="244963"/>
                  <w:u w:val="single"/>
                </w:rPr>
                <w:t>F5-05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Outbox transaccional y publicación de eventos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23">
              <w:r>
                <w:rPr>
                  <w:color w:val="244963"/>
                  <w:u w:val="single"/>
                </w:rPr>
                <w:t>Outbox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24">
              <w:r>
                <w:rPr>
                  <w:color w:val="244963"/>
                  <w:u w:val="single"/>
                </w:rPr>
                <w:t>F5-06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Consumidores idempotentes, reintentos y cola de mensajes fallidos (DLQ)</w:t>
            </w:r>
          </w:p>
        </w:tc>
        <w:tc>
          <w:tcPr>
            <w:tcW w:type="dxa" w:w="27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25">
              <w:r>
                <w:rPr>
                  <w:color w:val="244963"/>
                  <w:u w:val="single"/>
                </w:rPr>
                <w:t>Workers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26">
              <w:r>
                <w:rPr>
                  <w:color w:val="244963"/>
                  <w:u w:val="single"/>
                </w:rPr>
                <w:t>F5-07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Centro de trabajos, historial y reproceso auditado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27">
              <w:r>
                <w:rPr>
                  <w:color w:val="244963"/>
                  <w:u w:val="single"/>
                </w:rPr>
                <w:t>Trabajos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28">
              <w:r>
                <w:rPr>
                  <w:color w:val="244963"/>
                  <w:u w:val="single"/>
                </w:rPr>
                <w:t>F5-08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Carga directa preautorizada a almacenamiento privado y confirmación en cuarentena</w:t>
            </w:r>
          </w:p>
        </w:tc>
        <w:tc>
          <w:tcPr>
            <w:tcW w:type="dxa" w:w="27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29">
              <w:r>
                <w:rPr>
                  <w:color w:val="244963"/>
                  <w:u w:val="single"/>
                </w:rPr>
                <w:t>Archivos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30">
              <w:r>
                <w:rPr>
                  <w:color w:val="244963"/>
                  <w:u w:val="single"/>
                </w:rPr>
                <w:t>F5-09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Integridad, análisis antimalware, promoción o rechazo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31">
              <w:r>
                <w:rPr>
                  <w:color w:val="244963"/>
                  <w:u w:val="single"/>
                </w:rPr>
                <w:t>Seguridad de archivos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32">
              <w:r>
                <w:rPr>
                  <w:color w:val="244963"/>
                  <w:u w:val="single"/>
                </w:rPr>
                <w:t>F5-10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Versiones, autorización de descarga y URL temporal auditada</w:t>
            </w:r>
          </w:p>
        </w:tc>
        <w:tc>
          <w:tcPr>
            <w:tcW w:type="dxa" w:w="27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29">
              <w:r>
                <w:rPr>
                  <w:color w:val="244963"/>
                  <w:u w:val="single"/>
                </w:rPr>
                <w:t>Archivos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33">
              <w:r>
                <w:rPr>
                  <w:color w:val="244963"/>
                  <w:u w:val="single"/>
                </w:rPr>
                <w:t>F5-11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Alertas persistentes por destinatario y transiciones controladas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34">
              <w:r>
                <w:rPr>
                  <w:color w:val="244963"/>
                  <w:u w:val="single"/>
                </w:rPr>
                <w:t>Notificaciones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35">
              <w:r>
                <w:rPr>
                  <w:color w:val="244963"/>
                  <w:u w:val="single"/>
                </w:rPr>
                <w:t>F5-12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Correo transaccional, plantillas versionadas y seguimiento de entrega</w:t>
            </w:r>
          </w:p>
        </w:tc>
        <w:tc>
          <w:tcPr>
            <w:tcW w:type="dxa" w:w="27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36">
              <w:r>
                <w:rPr>
                  <w:color w:val="244963"/>
                  <w:u w:val="single"/>
                </w:rPr>
                <w:t>Operación de correo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37">
              <w:r>
                <w:rPr>
                  <w:color w:val="244963"/>
                  <w:u w:val="single"/>
                </w:rPr>
                <w:t>F5-13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Ventanas programadas, vencimientos y hallazgos de reconciliación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38">
              <w:r>
                <w:rPr>
                  <w:color w:val="244963"/>
                  <w:u w:val="single"/>
                </w:rPr>
                <w:t>Scheduler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39">
              <w:r>
                <w:rPr>
                  <w:color w:val="244963"/>
                  <w:u w:val="single"/>
                </w:rPr>
                <w:t>F5-14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Logs redactados de integraciones y correlación entre servicios</w:t>
            </w:r>
          </w:p>
        </w:tc>
        <w:tc>
          <w:tcPr>
            <w:tcW w:type="dxa" w:w="27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40">
              <w:r>
                <w:rPr>
                  <w:color w:val="244963"/>
                  <w:u w:val="single"/>
                </w:rPr>
                <w:t>Logs de integración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  <w:jc w:val="center"/>
            </w:pPr>
            <w:r>
              <w:rPr>
                <w:b w:val="0"/>
                <w:sz w:val="19"/>
              </w:rPr>
            </w:r>
            <w:hyperlink r:id="rId41">
              <w:r>
                <w:rPr>
                  <w:color w:val="244963"/>
                  <w:u w:val="single"/>
                </w:rPr>
                <w:t>F5-15</w:t>
              </w:r>
            </w:hyperlink>
            <w:r>
              <w:rPr>
                <w:b w:val="0"/>
                <w:sz w:val="19"/>
              </w:rPr>
            </w:r>
          </w:p>
        </w:tc>
        <w:tc>
          <w:tcPr>
            <w:tcW w:type="dxa" w:w="64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Interfaz común de servicios de cuenta y control de concurrencia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42">
              <w:r>
                <w:rPr>
                  <w:color w:val="244963"/>
                  <w:u w:val="single"/>
                </w:rPr>
                <w:t>Interfaz de cuenta</w:t>
              </w:r>
            </w:hyperlink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  Arquitectura y consistencia</w:t>
      </w:r>
    </w:p>
    <w:p>
      <w:r>
        <w:t>La web privada utiliza el BFF para conservar la sesión en servidor. La API resuelve identidad, cuenta, ámbito y permisos antes de ejecutar casos de uso. PostgreSQL mantiene los cambios transaccionales; el worker procesa las colas persistentes y llama a proveedores mediante adaptadores.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09360" cy="4542739"/>
            <wp:docPr id="1" name="Picture 1" descr="Flujo desde web privada y BFF hacia API y transacción con estado, auditoría y outbox; publicación a PGMQ y workers con trabajos, proveedores y notific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4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 Flujo transaccional y procesamiento asíncrono</w:t>
      </w:r>
    </w:p>
    <w:p>
      <w:r>
        <w:t>La auditoría y el evento de outbox se confirman junto con la acción de negocio cuando comparten la base transaccional. El envío posterior tolera entregas repetidas: cada consumidor reclama la combinación de su nombre y el ID del evento en la misma transacción que su efecto. Los efectos externos requieren idempotencia propia del adaptador o proveedor.</w:t>
      </w:r>
    </w:p>
    <w:p>
      <w:r>
        <w:t>Los logs técnicos permiten diagnosticar intentos y fallos; no sustituyen la auditoría funcional. La correlación conecta petición, evento, cola, trabajo, proveedor y webhook sin registrar secretos ni payloads sensibles completos.</w:t>
      </w:r>
    </w:p>
    <w:p>
      <w:r>
        <w:br w:type="page"/>
      </w:r>
    </w:p>
    <w:p>
      <w:pPr>
        <w:pStyle w:val="Heading1"/>
      </w:pPr>
      <w:r>
        <w:t>4  Flujos funcionales</w:t>
      </w:r>
    </w:p>
    <w:p>
      <w:pPr>
        <w:pStyle w:val="Heading2"/>
      </w:pPr>
      <w:r>
        <w:t>Suscripción y acceso</w:t>
      </w:r>
    </w:p>
    <w:p>
      <w:r>
        <w:t xml:space="preserve">El estado comercial se conserva separado del modo de acceso. Los estados documentados son </w:t>
      </w:r>
      <w:r>
        <w:rPr>
          <w:rFonts w:ascii="Consolas" w:hAnsi="Consolas"/>
          <w:sz w:val="18"/>
        </w:rPr>
        <w:t>demo</w:t>
      </w:r>
      <w:r>
        <w:t xml:space="preserve">, </w:t>
      </w:r>
      <w:r>
        <w:rPr>
          <w:rFonts w:ascii="Consolas" w:hAnsi="Consolas"/>
          <w:sz w:val="18"/>
        </w:rPr>
        <w:t>pending_activation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 xml:space="preserve">, </w:t>
      </w:r>
      <w:r>
        <w:rPr>
          <w:rFonts w:ascii="Consolas" w:hAnsi="Consolas"/>
          <w:sz w:val="18"/>
        </w:rPr>
        <w:t>payment_failed</w:t>
      </w:r>
      <w:r>
        <w:t xml:space="preserve">, </w:t>
      </w:r>
      <w:r>
        <w:rPr>
          <w:rFonts w:ascii="Consolas" w:hAnsi="Consolas"/>
          <w:sz w:val="18"/>
        </w:rPr>
        <w:t>read_only</w:t>
      </w:r>
      <w:r>
        <w:t xml:space="preserve">, </w:t>
      </w:r>
      <w:r>
        <w:rPr>
          <w:rFonts w:ascii="Consolas" w:hAnsi="Consolas"/>
          <w:sz w:val="18"/>
        </w:rPr>
        <w:t>cancellation_scheduled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 xml:space="preserve"> y </w:t>
      </w:r>
      <w:r>
        <w:rPr>
          <w:rFonts w:ascii="Consolas" w:hAnsi="Consolas"/>
          <w:sz w:val="18"/>
        </w:rPr>
        <w:t>reactivated</w:t>
      </w:r>
      <w:r>
        <w:t>.</w:t>
      </w:r>
    </w:p>
    <w:p>
      <w:r>
        <w:t>1. Una persona autorizada abre Checkout o Portal; abrir la sesión no activa la cuenta.</w:t>
      </w:r>
    </w:p>
    <w:p>
      <w:r>
        <w:t>2. El webhook verifica firma y concilia la información de Stripe antes de aplicar el cambio.</w:t>
      </w:r>
    </w:p>
    <w:p>
      <w:r>
        <w:t>3. Estado, acceso y auditoría se actualizan de forma consistente.</w:t>
      </w:r>
    </w:p>
    <w:p>
      <w:r>
        <w:t>4. Un pago rechazado activa solo lectura de inmediato, sin periodo de gracia añadido.</w:t>
      </w:r>
    </w:p>
    <w:p>
      <w:r>
        <w:t xml:space="preserve">5. La API rechaza escrituras de negocio con </w:t>
      </w:r>
      <w:r>
        <w:rPr>
          <w:rFonts w:ascii="Consolas" w:hAnsi="Consolas"/>
          <w:sz w:val="18"/>
        </w:rPr>
        <w:t>403 ACCOUNT_READ_ONLY</w:t>
      </w:r>
      <w:r>
        <w:t>; la interfaz muestra el motivo y deshabilita las acciones correspondientes.</w:t>
      </w:r>
    </w:p>
    <w:p>
      <w:r>
        <w:t>Las consultas y descargas conservan su autorización habitual. Facturación y ciertas operaciones propias de identidad y notificaciones tienen excepciones explícitas; no habilitan escritura general. Una suspensión de seguridad no se elimina por un pago confirmado.</w:t>
      </w:r>
    </w:p>
    <w:p>
      <w:r>
        <w:t xml:space="preserve">Decisiones específicas: </w:t>
      </w:r>
      <w:hyperlink r:id="rId44">
        <w:r>
          <w:rPr>
            <w:color w:val="244963"/>
            <w:u w:val="single"/>
          </w:rPr>
          <w:t>preactivación</w:t>
        </w:r>
      </w:hyperlink>
      <w:r>
        <w:t xml:space="preserve">, </w:t>
      </w:r>
      <w:hyperlink r:id="rId45">
        <w:r>
          <w:rPr>
            <w:color w:val="244963"/>
            <w:u w:val="single"/>
          </w:rPr>
          <w:t>sesiones de Stripe</w:t>
        </w:r>
      </w:hyperlink>
      <w:r>
        <w:t xml:space="preserve"> y </w:t>
      </w:r>
      <w:hyperlink r:id="rId46">
        <w:r>
          <w:rPr>
            <w:color w:val="244963"/>
            <w:u w:val="single"/>
          </w:rPr>
          <w:t>reconciliación de webhooks</w:t>
        </w:r>
      </w:hyperlink>
      <w:r>
        <w:t>.</w:t>
      </w:r>
    </w:p>
    <w:p>
      <w:pPr>
        <w:pStyle w:val="Heading2"/>
      </w:pPr>
      <w:r>
        <w:t>Archivos privados</w:t>
      </w:r>
    </w:p>
    <w:p>
      <w:r>
        <w:t>1. La API autoriza el recurso, propósito y ámbito, y emite una sesión de carga temporal.</w:t>
      </w:r>
    </w:p>
    <w:p>
      <w:r>
        <w:t>2. El navegador carga los bytes directamente a almacenamiento privado.</w:t>
      </w:r>
    </w:p>
    <w:p>
      <w:r>
        <w:t>3. La confirmación valida el objeto y lo conserva en cuarentena.</w:t>
      </w:r>
    </w:p>
    <w:p>
      <w:r>
        <w:t>4. El worker comprueba integridad y ejecuta el análisis antimalware.</w:t>
      </w:r>
    </w:p>
    <w:p>
      <w:r>
        <w:t>5. Solo un veredicto limpio permite la promoción; ante fallo del analizador, el archivo permanece en cuarentena.</w:t>
      </w:r>
    </w:p>
    <w:p>
      <w:r>
        <w:t>6. Cada descarga vuelve a autorizarse y genera una URL temporal y un evento de auditoría.</w:t>
      </w:r>
    </w:p>
    <w:p>
      <w:r>
        <w:t xml:space="preserve">No se entregan URLs públicas permanentes de originales privados. Las versiones y los derivados no implican publicación automática. El modelo de amenazas y los controles están en </w:t>
      </w:r>
      <w:hyperlink r:id="rId31">
        <w:r>
          <w:rPr>
            <w:color w:val="244963"/>
            <w:u w:val="single"/>
          </w:rPr>
          <w:t>seguridad de archivos</w:t>
        </w:r>
      </w:hyperlink>
      <w:r>
        <w:t>.</w:t>
      </w:r>
    </w:p>
    <w:p>
      <w:r>
        <w:br w:type="page"/>
      </w:r>
    </w:p>
    <w:p>
      <w:pPr>
        <w:pStyle w:val="Heading2"/>
      </w:pPr>
      <w:r>
        <w:t>Trabajos reintentos y diagnóstico</w:t>
      </w:r>
    </w:p>
    <w:p>
      <w:r>
        <w:t xml:space="preserve">El registro utiliza </w:t>
      </w:r>
      <w:r>
        <w:rPr>
          <w:rFonts w:ascii="Consolas" w:hAnsi="Consolas"/>
          <w:sz w:val="18"/>
        </w:rPr>
        <w:t>QUEUED</w:t>
      </w:r>
      <w:r>
        <w:t xml:space="preserve">, </w:t>
      </w:r>
      <w:r>
        <w:rPr>
          <w:rFonts w:ascii="Consolas" w:hAnsi="Consolas"/>
          <w:sz w:val="18"/>
        </w:rPr>
        <w:t>RUNNING</w:t>
      </w:r>
      <w:r>
        <w:t xml:space="preserve">, </w:t>
      </w:r>
      <w:r>
        <w:rPr>
          <w:rFonts w:ascii="Consolas" w:hAnsi="Consolas"/>
          <w:sz w:val="18"/>
        </w:rPr>
        <w:t>SUCCEEDED</w:t>
      </w:r>
      <w:r>
        <w:t xml:space="preserve">, </w:t>
      </w:r>
      <w:r>
        <w:rPr>
          <w:rFonts w:ascii="Consolas" w:hAnsi="Consolas"/>
          <w:sz w:val="18"/>
        </w:rPr>
        <w:t>RETRY_WAIT</w:t>
      </w:r>
      <w:r>
        <w:t xml:space="preserve">, </w:t>
      </w:r>
      <w:r>
        <w:rPr>
          <w:rFonts w:ascii="Consolas" w:hAnsi="Consolas"/>
          <w:sz w:val="18"/>
        </w:rPr>
        <w:t>FAILED</w:t>
      </w:r>
      <w:r>
        <w:t xml:space="preserve"> y </w:t>
      </w:r>
      <w:r>
        <w:rPr>
          <w:rFonts w:ascii="Consolas" w:hAnsi="Consolas"/>
          <w:sz w:val="18"/>
        </w:rPr>
        <w:t>DEAD_LETTER</w:t>
      </w:r>
      <w:r>
        <w:t>, con historial append-only. Los fallos recuperables siguen la política de reintentos de su cola; al agotarla pasan a DLQ.</w:t>
      </w:r>
    </w:p>
    <w:p>
      <w:r>
        <w:t xml:space="preserve">El reproceso administrativo exige permiso, MFA, motivo, clave de idempotencia y versión esperada. La transacción conserva el reenvío, la transición y la auditoría. Una versión obsoleta se rechaza con </w:t>
      </w:r>
      <w:r>
        <w:rPr>
          <w:rFonts w:ascii="Consolas" w:hAnsi="Consolas"/>
          <w:sz w:val="18"/>
        </w:rPr>
        <w:t>412</w:t>
      </w:r>
      <w:r>
        <w:t xml:space="preserve">; la pantalla actualiza el detalle antes de permitir una nueva decisión. La operación completa está en </w:t>
      </w:r>
      <w:hyperlink r:id="rId27">
        <w:r>
          <w:rPr>
            <w:color w:val="244963"/>
            <w:u w:val="single"/>
          </w:rPr>
          <w:t>trabajos</w:t>
        </w:r>
      </w:hyperlink>
      <w:r>
        <w:t xml:space="preserve"> y </w:t>
      </w:r>
      <w:hyperlink r:id="rId47">
        <w:r>
          <w:rPr>
            <w:color w:val="244963"/>
            <w:u w:val="single"/>
          </w:rPr>
          <w:t>colas</w:t>
        </w:r>
      </w:hyperlink>
      <w:r>
        <w:t>.</w:t>
      </w:r>
    </w:p>
    <w:p>
      <w:pPr>
        <w:pStyle w:val="Heading2"/>
      </w:pPr>
      <w:r>
        <w:t>Notificaciones correo y tareas programadas</w:t>
      </w:r>
    </w:p>
    <w:p>
      <w:r>
        <w:t>Las alertas tienen estado por destinatario: no leída, leída, enterado, en atención y resuelta. Las críticas permanecen fijadas hasta «Enterado»; resolver exige que la condición relacionada esté cerrada.</w:t>
      </w:r>
    </w:p>
    <w:p>
      <w:r>
        <w:t>El consumidor de correo encola las alertas críticas y un procesador separado realiza el envío, con plantillas versionadas, reintentos, DLQ y seguimiento firmado de entrega o rebote.</w:t>
      </w:r>
    </w:p>
    <w:p>
      <w:r>
        <w:t>El scheduler identifica cada ventana por tarea, usa arrendamientos en base de datos y registra trabajos observables. Materializa vencimientos, publica eventos de cierre de periodos de reporte y registra discrepancias con Stripe sin corregirlas automáticamente. La generación de PDF y el productor de reportes corresponden a fases posteriores.</w:t>
      </w:r>
    </w:p>
    <w:p>
      <w:pPr>
        <w:pStyle w:val="Heading1"/>
      </w:pPr>
      <w:r>
        <w:t>5  Interfaz y contratos</w:t>
      </w:r>
    </w:p>
    <w:p>
      <w:r>
        <w:t xml:space="preserve">Las rutas de servicio documentadas son </w:t>
      </w:r>
      <w:r>
        <w:rPr>
          <w:rFonts w:ascii="Consolas" w:hAnsi="Consolas"/>
          <w:sz w:val="18"/>
        </w:rPr>
        <w:t>/subscription</w:t>
      </w:r>
      <w:r>
        <w:t xml:space="preserve">, </w:t>
      </w:r>
      <w:r>
        <w:rPr>
          <w:rFonts w:ascii="Consolas" w:hAnsi="Consolas"/>
          <w:sz w:val="18"/>
        </w:rPr>
        <w:t>/audit</w:t>
      </w:r>
      <w:r>
        <w:t xml:space="preserve">, </w:t>
      </w:r>
      <w:r>
        <w:rPr>
          <w:rFonts w:ascii="Consolas" w:hAnsi="Consolas"/>
          <w:sz w:val="18"/>
        </w:rPr>
        <w:t>/files</w:t>
      </w:r>
      <w:r>
        <w:t xml:space="preserve">, </w:t>
      </w:r>
      <w:r>
        <w:rPr>
          <w:rFonts w:ascii="Consolas" w:hAnsi="Consolas"/>
          <w:sz w:val="18"/>
        </w:rPr>
        <w:t>/jobs</w:t>
      </w:r>
      <w:r>
        <w:t xml:space="preserve"> y </w:t>
      </w:r>
      <w:r>
        <w:rPr>
          <w:rFonts w:ascii="Consolas" w:hAnsi="Consolas"/>
          <w:sz w:val="18"/>
        </w:rPr>
        <w:t>/notifications</w:t>
      </w:r>
      <w:r>
        <w:t>. Comparten estados de carga, vacío, error, falta de permiso, desconexión y conflicto, además del aviso global de solo lectura.</w:t>
      </w:r>
    </w:p>
    <w:p>
      <w:r>
        <w:t xml:space="preserve">Las mutaciones sensibles validan permisos en servidor, idempotencia y versión cuando corresponde. En particular, F5-15 añade </w:t>
      </w:r>
      <w:r>
        <w:rPr>
          <w:rFonts w:ascii="Consolas" w:hAnsi="Consolas"/>
          <w:sz w:val="18"/>
        </w:rPr>
        <w:t>If-Match</w:t>
      </w:r>
      <w:r>
        <w:t xml:space="preserve"> al reintento INT-004 y a las transiciones NOT-003 a NOT-006. La matriz del gate registra el desfase histórico D-2 entre algunas filas de </w:t>
      </w:r>
      <w:r>
        <w:rPr>
          <w:rFonts w:ascii="Consolas" w:hAnsi="Consolas"/>
          <w:sz w:val="18"/>
        </w:rPr>
        <w:t>API.md</w:t>
      </w:r>
      <w:r>
        <w:t xml:space="preserve"> y este requisito.</w:t>
      </w:r>
    </w:p>
    <w:p>
      <w:r>
        <w:t xml:space="preserve">Los contratos generales se consultan en </w:t>
      </w:r>
      <w:hyperlink r:id="rId48">
        <w:r>
          <w:rPr>
            <w:color w:val="244963"/>
            <w:u w:val="single"/>
          </w:rPr>
          <w:t>API</w:t>
        </w:r>
      </w:hyperlink>
      <w:r>
        <w:t xml:space="preserve">; los detalles de interacción, BFF y concurrencia están en </w:t>
      </w:r>
      <w:hyperlink r:id="rId42">
        <w:r>
          <w:rPr>
            <w:color w:val="244963"/>
            <w:u w:val="single"/>
          </w:rPr>
          <w:t>servicios de cuenta</w:t>
        </w:r>
      </w:hyperlink>
      <w:r>
        <w:t>. Este último documento también incorpora cambios posteriores del shell de Fase 6, que no deben atribuirse a la corrida de cierre de Fase 5.</w:t>
      </w:r>
    </w:p>
    <w:p>
      <w:r>
        <w:br w:type="page"/>
      </w:r>
    </w:p>
    <w:p>
      <w:pPr>
        <w:pStyle w:val="Heading1"/>
      </w:pPr>
      <w:r>
        <w:t>6  Operación y soporte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5616"/>
        <w:gridCol w:w="2160"/>
      </w:tblGrid>
      <w:tr>
        <w:trPr>
          <w:cantSplit/>
          <w:tblHeader/>
        </w:trPr>
        <w:tc>
          <w:tcPr>
            <w:tcW w:type="dxa" w:w="2304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Situación</w:t>
            </w:r>
          </w:p>
        </w:tc>
        <w:tc>
          <w:tcPr>
            <w:tcW w:type="dxa" w:w="5616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Comprobación y actuación documentada</w:t>
            </w:r>
          </w:p>
        </w:tc>
        <w:tc>
          <w:tcPr>
            <w:tcW w:type="dxa" w:w="2160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Procedimiento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Pago rechazado o estado comercial discrepante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Revisar recibo, firma, correlación y reconciliación; no activar por la redirección de Checkout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18">
              <w:r>
                <w:rPr>
                  <w:color w:val="244963"/>
                  <w:u w:val="single"/>
                </w:rPr>
                <w:t>Stripe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Trabajo fallido o cola acumulada</w:t>
            </w:r>
          </w:p>
        </w:tc>
        <w:tc>
          <w:tcPr>
            <w:tcW w:type="dxa" w:w="561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Revisar intentos, código, antigüedad y DLQ; corregir la causa antes del reproceso autorizado</w:t>
            </w:r>
          </w:p>
        </w:tc>
        <w:tc>
          <w:tcPr>
            <w:tcW w:type="dxa" w:w="216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47">
              <w:r>
                <w:rPr>
                  <w:color w:val="244963"/>
                  <w:u w:val="single"/>
                </w:rPr>
                <w:t>Colas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Archivo retenido en cuarentena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Revisar integridad, veredicto y disponibilidad del analizador; conservar cuarentena ante fallo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49">
              <w:r>
                <w:rPr>
                  <w:color w:val="244963"/>
                  <w:u w:val="single"/>
                </w:rPr>
                <w:t>Almacenamiento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Correo sin entrega o rebotado</w:t>
            </w:r>
          </w:p>
        </w:tc>
        <w:tc>
          <w:tcPr>
            <w:tcW w:type="dxa" w:w="561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Revisar trabajo, estado del proveedor y callback firmado</w:t>
            </w:r>
          </w:p>
        </w:tc>
        <w:tc>
          <w:tcPr>
            <w:tcW w:type="dxa" w:w="216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36">
              <w:r>
                <w:rPr>
                  <w:color w:val="244963"/>
                  <w:u w:val="single"/>
                </w:rPr>
                <w:t>Correo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Alerta que no se puede resolver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Verificar destinatario, versión y cierre de la condición relacionada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50">
              <w:r>
                <w:rPr>
                  <w:color w:val="244963"/>
                  <w:u w:val="single"/>
                </w:rPr>
                <w:t>Notificaciones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Ventana programada omitida o fallida</w:t>
            </w:r>
          </w:p>
        </w:tc>
        <w:tc>
          <w:tcPr>
            <w:tcW w:type="dxa" w:w="561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Revisar tarea, ventana, arrendamiento e historial del trabajo</w:t>
            </w:r>
          </w:p>
        </w:tc>
        <w:tc>
          <w:tcPr>
            <w:tcW w:type="dxa" w:w="216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51">
              <w:r>
                <w:rPr>
                  <w:color w:val="244963"/>
                  <w:u w:val="single"/>
                </w:rPr>
                <w:t>Scheduler</w:t>
              </w:r>
            </w:hyperlink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Investigación de una acción sensible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Consultar auditoría y seguir la correlación hacia los logs de integración autorizados</w:t>
            </w:r>
          </w:p>
        </w:tc>
        <w:tc>
          <w:tcPr>
            <w:tcW w:type="dxa" w:w="216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hyperlink r:id="rId52">
              <w:r>
                <w:rPr>
                  <w:color w:val="244963"/>
                  <w:u w:val="single"/>
                </w:rPr>
                <w:t>Auditoría</w:t>
              </w:r>
            </w:hyperlink>
            <w:r>
              <w:rPr>
                <w:b w:val="0"/>
                <w:sz w:val="19"/>
              </w:rPr>
              <w:t xml:space="preserve">, </w:t>
            </w:r>
            <w:hyperlink r:id="rId53">
              <w:r>
                <w:rPr>
                  <w:color w:val="244963"/>
                  <w:u w:val="single"/>
                </w:rPr>
                <w:t>observabilidad</w:t>
              </w:r>
            </w:hyperlink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t xml:space="preserve">La promoción de entornos sigue el </w:t>
      </w:r>
      <w:hyperlink r:id="rId54">
        <w:r>
          <w:rPr>
            <w:color w:val="244963"/>
            <w:u w:val="single"/>
          </w:rPr>
          <w:t>runbook de despliegue</w:t>
        </w:r>
      </w:hyperlink>
      <w:r>
        <w:t>. Esta guía no acredita que las migraciones, servicios o proveedores estén activos en un entorno remoto.</w:t>
      </w:r>
    </w:p>
    <w:p>
      <w:pPr>
        <w:pStyle w:val="Heading1"/>
      </w:pPr>
      <w:r>
        <w:t>7  Validación y criterio de salida</w:t>
      </w:r>
    </w:p>
    <w:p>
      <w:r>
        <w:t xml:space="preserve">La </w:t>
      </w:r>
      <w:hyperlink r:id="rId55">
        <w:r>
          <w:rPr>
            <w:color w:val="244963"/>
            <w:u w:val="single"/>
          </w:rPr>
          <w:t>declaración de cierre del 06/10/2026</w:t>
        </w:r>
      </w:hyperlink>
      <w:r>
        <w:t xml:space="preserve"> registra los siguientes resultados sobre </w:t>
      </w:r>
      <w:r>
        <w:rPr>
          <w:rFonts w:ascii="Consolas" w:hAnsi="Consolas"/>
          <w:sz w:val="18"/>
        </w:rPr>
        <w:t>cdbded7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Validación histórica</w:t>
            </w:r>
          </w:p>
        </w:tc>
        <w:tc>
          <w:tcPr>
            <w:tcW w:type="dxa" w:w="6912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pnpm check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Salida 0; 408 pruebas en 68 archivos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Build con origen local de Storage</w:t>
            </w:r>
          </w:p>
        </w:tc>
        <w:tc>
          <w:tcPr>
            <w:tcW w:type="dxa" w:w="691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Salida 0; 14 tareas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Integración con Chromium habilitado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106 pruebas en 14 archivos, sin omisiones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Escenarios detallados del gate</w:t>
            </w:r>
          </w:p>
        </w:tc>
        <w:tc>
          <w:tcPr>
            <w:tcW w:type="dxa" w:w="691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66 pruebas en 8 archivos; subconjunto de validación, no total adicional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Supabase local y pgTAP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23 migraciones aplicadas; 320 aserciones en 15 archivos</w:t>
            </w:r>
          </w:p>
        </w:tc>
      </w:tr>
    </w:tbl>
    <w:p>
      <w:pPr>
        <w:spacing w:after="40"/>
      </w:pPr>
    </w:p>
    <w:p>
      <w:r>
        <w:t>Los cuatro criterios se verificaron localmente: acción sensible con auditoría y eventos; pago rechazado con solo lectura inmediata; archivo privado sin URL pública permanente; trabajo fallido diagnosticable y reintentable.</w:t>
      </w:r>
    </w:p>
    <w:p>
      <w:r>
        <w:t xml:space="preserve">La </w:t>
      </w:r>
      <w:hyperlink r:id="rId56">
        <w:r>
          <w:rPr>
            <w:color w:val="244963"/>
            <w:u w:val="single"/>
          </w:rPr>
          <w:t>guía QA</w:t>
        </w:r>
      </w:hyperlink>
      <w:r>
        <w:t xml:space="preserve"> contiene comandos de reproducción y salidas originales. Los conteos corresponden a aquella revisión, no al estado actual del repositorio. El gate utilizó dependencias y proveedores locales o simulados y no acreditó operación contra servicios desplegados.</w:t>
      </w:r>
    </w:p>
    <w:p>
      <w:r>
        <w:br w:type="page"/>
      </w:r>
    </w:p>
    <w:p>
      <w:pPr>
        <w:pStyle w:val="Heading1"/>
      </w:pPr>
      <w:r>
        <w:t>8  Pendientes para puesta en operación</w:t>
      </w:r>
    </w:p>
    <w:p>
      <w:r>
        <w:t>El cierre registra estos pendientes; esta consolidación no los da por resueltos: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2376"/>
        <w:gridCol w:w="3384"/>
      </w:tblGrid>
      <w:tr>
        <w:trPr>
          <w:cantSplit/>
          <w:tblHeader/>
        </w:trPr>
        <w:tc>
          <w:tcPr>
            <w:tcW w:type="dxa" w:w="4320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Pendiente</w:t>
            </w:r>
          </w:p>
        </w:tc>
        <w:tc>
          <w:tcPr>
            <w:tcW w:type="dxa" w:w="2376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Referencia</w:t>
            </w:r>
          </w:p>
        </w:tc>
        <w:tc>
          <w:tcPr>
            <w:tcW w:type="dxa" w:w="3384"/>
            <w:vAlign w:val="center"/>
            <w:shd w:fill="DCE7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/>
                <w:sz w:val="19"/>
              </w:rPr>
              <w:t>Efecto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Validación remota y reconciliación real de Stripe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F5-02 AC-10, F5-13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Cobro productivo sin acreditar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Migraciones y despliegue de API, web y worker</w:t>
            </w:r>
          </w:p>
        </w:tc>
        <w:tc>
          <w:tcPr>
            <w:tcW w:type="dxa" w:w="237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Despliegue de Fase 5</w:t>
            </w:r>
          </w:p>
        </w:tc>
        <w:tc>
          <w:tcPr>
            <w:tcW w:type="dxa" w:w="33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Uso real sin acreditar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Proveedor antimalware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ADR-019 / DEC-019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Procesamiento de archivos reales pendiente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Proveedor de correo y canal de recuperación</w:t>
            </w:r>
          </w:p>
        </w:tc>
        <w:tc>
          <w:tcPr>
            <w:tcW w:type="dxa" w:w="237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DEC-025, DEC-024</w:t>
            </w:r>
          </w:p>
        </w:tc>
        <w:tc>
          <w:tcPr>
            <w:tcW w:type="dxa" w:w="33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Correo productivo y recuperación pendientes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Hospedaje de worker y scheduler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DEC-026 / ADR-021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Worker en staging pendiente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Reglas comerciales de mora, reembolso, contracargo y cancelación</w:t>
            </w:r>
          </w:p>
        </w:tc>
        <w:tc>
          <w:tcPr>
            <w:tcW w:type="dxa" w:w="237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DEC-017</w:t>
            </w:r>
          </w:p>
        </w:tc>
        <w:tc>
          <w:tcPr>
            <w:tcW w:type="dxa" w:w="33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Operación comercial pendiente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Retención, privacidad y tratamiento de cancelaciones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DEC-008</w:t>
            </w:r>
          </w:p>
        </w:tc>
        <w:tc>
          <w:tcPr>
            <w:tcW w:type="dxa" w:w="33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Sin plazo de purga ni borrado supuesto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Ratificación formal</w:t>
            </w:r>
          </w:p>
        </w:tc>
        <w:tc>
          <w:tcPr>
            <w:tcW w:type="dxa" w:w="237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Declaración de cierre</w:t>
            </w:r>
          </w:p>
        </w:tc>
        <w:tc>
          <w:tcPr>
            <w:tcW w:type="dxa" w:w="33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7" w:lineRule="auto"/>
            </w:pPr>
            <w:r>
              <w:rPr>
                <w:b w:val="0"/>
                <w:sz w:val="19"/>
              </w:rPr>
              <w:t>Firmas de responsables pendientes</w:t>
            </w:r>
          </w:p>
        </w:tc>
      </w:tr>
    </w:tbl>
    <w:p>
      <w:pPr>
        <w:spacing w:after="40"/>
      </w:pPr>
    </w:p>
    <w:p>
      <w:r>
        <w:t xml:space="preserve">Los hallazgos adicionales del gate incluyen accesibilidad manual pendiente, falta de una suite pgTAP específica de suscripciones y evidencias heredadas de Fase 4 fuera de </w:t>
      </w:r>
      <w:r>
        <w:rPr>
          <w:rFonts w:ascii="Consolas" w:hAnsi="Consolas"/>
          <w:sz w:val="18"/>
        </w:rPr>
        <w:t>files.file_versions</w:t>
      </w:r>
      <w:r>
        <w:t xml:space="preserve">. Su alcance histórico y las decisiones documentales D-1 a D-3 se conservan en la </w:t>
      </w:r>
      <w:hyperlink r:id="rId14">
        <w:r>
          <w:rPr>
            <w:color w:val="244963"/>
            <w:u w:val="single"/>
          </w:rPr>
          <w:t>matriz de trazabilidad</w:t>
        </w:r>
      </w:hyperlink>
      <w:r>
        <w:t>.</w:t>
      </w:r>
    </w:p>
    <w:p>
      <w:r>
        <w:t>Para continuar la documentación, cada cambio debe actualizar el módulo y runbook afectados, conservar su evidencia y revisar el estado consolidado. La preparación productiva requiere comprobar los pendientes en el entorno correspondiente y registrar las decisiones y aprobaciones aplicables.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ICE24 OS  ·  Fase 5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  <w:lang w:val="es-MX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80"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C:/Users/isaac/OneDrive/Documentos/ICE24OS/context/Implementation_Plan.md" TargetMode="External"/><Relationship Id="rId11" Type="http://schemas.openxmlformats.org/officeDocument/2006/relationships/hyperlink" Target="file:///C:/Users/isaac/OneDrive/Documentos/ICE24OS/context/TASKS.md" TargetMode="External"/><Relationship Id="rId12" Type="http://schemas.openxmlformats.org/officeDocument/2006/relationships/hyperlink" Target="file:///C:/Users/isaac/OneDrive/Documentos/ICE24OS/context/PROJECT_RULES.md" TargetMode="External"/><Relationship Id="rId13" Type="http://schemas.openxmlformats.org/officeDocument/2006/relationships/hyperlink" Target="file:///C:/Users/isaac/OneDrive/Documentos/ICE24OS/docs/backlog/phase-5-status.md" TargetMode="External"/><Relationship Id="rId14" Type="http://schemas.openxmlformats.org/officeDocument/2006/relationships/hyperlink" Target="file:///C:/Users/isaac/OneDrive/Documentos/ICE24OS/docs/qa/phase-5/traceability.md" TargetMode="External"/><Relationship Id="rId15" Type="http://schemas.openxmlformats.org/officeDocument/2006/relationships/hyperlink" Target="file:///C:/Users/isaac/OneDrive/Documentos/ICE24OS/docs/tasks/task-f5-01.md" TargetMode="External"/><Relationship Id="rId16" Type="http://schemas.openxmlformats.org/officeDocument/2006/relationships/hyperlink" Target="file:///C:/Users/isaac/OneDrive/Documentos/ICE24OS/docs/modules/subscriptions.md" TargetMode="External"/><Relationship Id="rId17" Type="http://schemas.openxmlformats.org/officeDocument/2006/relationships/hyperlink" Target="file:///C:/Users/isaac/OneDrive/Documentos/ICE24OS/docs/tasks/task-f5-02.md" TargetMode="External"/><Relationship Id="rId18" Type="http://schemas.openxmlformats.org/officeDocument/2006/relationships/hyperlink" Target="file:///C:/Users/isaac/OneDrive/Documentos/ICE24OS/docs/runbooks/stripe.md" TargetMode="External"/><Relationship Id="rId19" Type="http://schemas.openxmlformats.org/officeDocument/2006/relationships/hyperlink" Target="file:///C:/Users/isaac/OneDrive/Documentos/ICE24OS/docs/tasks/task-f5-03.md" TargetMode="External"/><Relationship Id="rId20" Type="http://schemas.openxmlformats.org/officeDocument/2006/relationships/hyperlink" Target="file:///C:/Users/isaac/OneDrive/Documentos/ICE24OS/docs/tasks/task-f5-04.md" TargetMode="External"/><Relationship Id="rId21" Type="http://schemas.openxmlformats.org/officeDocument/2006/relationships/hyperlink" Target="file:///C:/Users/isaac/OneDrive/Documentos/ICE24OS/docs/modules/audit.md" TargetMode="External"/><Relationship Id="rId22" Type="http://schemas.openxmlformats.org/officeDocument/2006/relationships/hyperlink" Target="file:///C:/Users/isaac/OneDrive/Documentos/ICE24OS/docs/tasks/task-f5-05.md" TargetMode="External"/><Relationship Id="rId23" Type="http://schemas.openxmlformats.org/officeDocument/2006/relationships/hyperlink" Target="file:///C:/Users/isaac/OneDrive/Documentos/ICE24OS/docs/modules/outbox.md" TargetMode="External"/><Relationship Id="rId24" Type="http://schemas.openxmlformats.org/officeDocument/2006/relationships/hyperlink" Target="file:///C:/Users/isaac/OneDrive/Documentos/ICE24OS/docs/tasks/task-f5-06.md" TargetMode="External"/><Relationship Id="rId25" Type="http://schemas.openxmlformats.org/officeDocument/2006/relationships/hyperlink" Target="file:///C:/Users/isaac/OneDrive/Documentos/ICE24OS/docs/modules/workers.md" TargetMode="External"/><Relationship Id="rId26" Type="http://schemas.openxmlformats.org/officeDocument/2006/relationships/hyperlink" Target="file:///C:/Users/isaac/OneDrive/Documentos/ICE24OS/docs/tasks/task-f5-07.md" TargetMode="External"/><Relationship Id="rId27" Type="http://schemas.openxmlformats.org/officeDocument/2006/relationships/hyperlink" Target="file:///C:/Users/isaac/OneDrive/Documentos/ICE24OS/docs/modules/jobs.md" TargetMode="External"/><Relationship Id="rId28" Type="http://schemas.openxmlformats.org/officeDocument/2006/relationships/hyperlink" Target="file:///C:/Users/isaac/OneDrive/Documentos/ICE24OS/docs/tasks/task-f5-08.md" TargetMode="External"/><Relationship Id="rId29" Type="http://schemas.openxmlformats.org/officeDocument/2006/relationships/hyperlink" Target="file:///C:/Users/isaac/OneDrive/Documentos/ICE24OS/docs/modules/files.md" TargetMode="External"/><Relationship Id="rId30" Type="http://schemas.openxmlformats.org/officeDocument/2006/relationships/hyperlink" Target="file:///C:/Users/isaac/OneDrive/Documentos/ICE24OS/docs/tasks/task-f5-09.md" TargetMode="External"/><Relationship Id="rId31" Type="http://schemas.openxmlformats.org/officeDocument/2006/relationships/hyperlink" Target="file:///C:/Users/isaac/OneDrive/Documentos/ICE24OS/docs/security/files.md" TargetMode="External"/><Relationship Id="rId32" Type="http://schemas.openxmlformats.org/officeDocument/2006/relationships/hyperlink" Target="file:///C:/Users/isaac/OneDrive/Documentos/ICE24OS/docs/tasks/task-f5-10.md" TargetMode="External"/><Relationship Id="rId33" Type="http://schemas.openxmlformats.org/officeDocument/2006/relationships/hyperlink" Target="file:///C:/Users/isaac/OneDrive/Documentos/ICE24OS/docs/tasks/task-f5-11.md" TargetMode="External"/><Relationship Id="rId34" Type="http://schemas.openxmlformats.org/officeDocument/2006/relationships/hyperlink" Target="file:///C:/Users/isaac/OneDrive/Documentos/ICE24OS/docs/modules/notifications.md" TargetMode="External"/><Relationship Id="rId35" Type="http://schemas.openxmlformats.org/officeDocument/2006/relationships/hyperlink" Target="file:///C:/Users/isaac/OneDrive/Documentos/ICE24OS/docs/tasks/task-f5-12.md" TargetMode="External"/><Relationship Id="rId36" Type="http://schemas.openxmlformats.org/officeDocument/2006/relationships/hyperlink" Target="file:///C:/Users/isaac/OneDrive/Documentos/ICE24OS/docs/runbooks/email.md" TargetMode="External"/><Relationship Id="rId37" Type="http://schemas.openxmlformats.org/officeDocument/2006/relationships/hyperlink" Target="file:///C:/Users/isaac/OneDrive/Documentos/ICE24OS/docs/tasks/task-f5-13.md" TargetMode="External"/><Relationship Id="rId38" Type="http://schemas.openxmlformats.org/officeDocument/2006/relationships/hyperlink" Target="file:///C:/Users/isaac/OneDrive/Documentos/ICE24OS/docs/modules/scheduler.md" TargetMode="External"/><Relationship Id="rId39" Type="http://schemas.openxmlformats.org/officeDocument/2006/relationships/hyperlink" Target="file:///C:/Users/isaac/OneDrive/Documentos/ICE24OS/docs/tasks/task-f5-14.md" TargetMode="External"/><Relationship Id="rId40" Type="http://schemas.openxmlformats.org/officeDocument/2006/relationships/hyperlink" Target="file:///C:/Users/isaac/OneDrive/Documentos/ICE24OS/docs/modules/integration-logs.md" TargetMode="External"/><Relationship Id="rId41" Type="http://schemas.openxmlformats.org/officeDocument/2006/relationships/hyperlink" Target="file:///C:/Users/isaac/OneDrive/Documentos/ICE24OS/docs/tasks/task-f5-15.md" TargetMode="External"/><Relationship Id="rId42" Type="http://schemas.openxmlformats.org/officeDocument/2006/relationships/hyperlink" Target="file:///C:/Users/isaac/OneDrive/Documentos/ICE24OS/docs/modules/account-services-ui.md" TargetMode="External"/><Relationship Id="rId43" Type="http://schemas.openxmlformats.org/officeDocument/2006/relationships/image" Target="media/image1.png"/><Relationship Id="rId44" Type="http://schemas.openxmlformats.org/officeDocument/2006/relationships/hyperlink" Target="file:///C:/Users/isaac/OneDrive/Documentos/ICE24OS/docs/decisions/adr-022-subscription-preactivation.md" TargetMode="External"/><Relationship Id="rId45" Type="http://schemas.openxmlformats.org/officeDocument/2006/relationships/hyperlink" Target="file:///C:/Users/isaac/OneDrive/Documentos/ICE24OS/docs/decisions/adr-023-stripe-sessions.md" TargetMode="External"/><Relationship Id="rId46" Type="http://schemas.openxmlformats.org/officeDocument/2006/relationships/hyperlink" Target="file:///C:/Users/isaac/OneDrive/Documentos/ICE24OS/docs/decisions/adr-024-stripe-webhook-reconciliation.md" TargetMode="External"/><Relationship Id="rId47" Type="http://schemas.openxmlformats.org/officeDocument/2006/relationships/hyperlink" Target="file:///C:/Users/isaac/OneDrive/Documentos/ICE24OS/docs/runbooks/queues.md" TargetMode="External"/><Relationship Id="rId48" Type="http://schemas.openxmlformats.org/officeDocument/2006/relationships/hyperlink" Target="file:///C:/Users/isaac/OneDrive/Documentos/ICE24OS/context/API.md" TargetMode="External"/><Relationship Id="rId49" Type="http://schemas.openxmlformats.org/officeDocument/2006/relationships/hyperlink" Target="file:///C:/Users/isaac/OneDrive/Documentos/ICE24OS/docs/runbooks/object-storage.md" TargetMode="External"/><Relationship Id="rId50" Type="http://schemas.openxmlformats.org/officeDocument/2006/relationships/hyperlink" Target="file:///C:/Users/isaac/OneDrive/Documentos/ICE24OS/docs/runbooks/notifications.md" TargetMode="External"/><Relationship Id="rId51" Type="http://schemas.openxmlformats.org/officeDocument/2006/relationships/hyperlink" Target="file:///C:/Users/isaac/OneDrive/Documentos/ICE24OS/docs/runbooks/scheduler.md" TargetMode="External"/><Relationship Id="rId52" Type="http://schemas.openxmlformats.org/officeDocument/2006/relationships/hyperlink" Target="file:///C:/Users/isaac/OneDrive/Documentos/ICE24OS/docs/runbooks/audit.md" TargetMode="External"/><Relationship Id="rId53" Type="http://schemas.openxmlformats.org/officeDocument/2006/relationships/hyperlink" Target="file:///C:/Users/isaac/OneDrive/Documentos/ICE24OS/docs/runbooks/observability.md" TargetMode="External"/><Relationship Id="rId54" Type="http://schemas.openxmlformats.org/officeDocument/2006/relationships/hyperlink" Target="file:///C:/Users/isaac/OneDrive/Documentos/ICE24OS/docs/runbooks/deployment.md" TargetMode="External"/><Relationship Id="rId55" Type="http://schemas.openxmlformats.org/officeDocument/2006/relationships/hyperlink" Target="file:///C:/Users/isaac/OneDrive/Documentos/ICE24OS/docs/qa/phase-5/evidence/20261006-declaracion-cierre.md" TargetMode="External"/><Relationship Id="rId56" Type="http://schemas.openxmlformats.org/officeDocument/2006/relationships/hyperlink" Target="file:///C:/Users/isaac/OneDrive/Documentos/ICE24OS/docs/qa/phase-5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5 Servicios transversales de ICE24 OS</dc:title>
  <dc:subject>Alcance arquitectura operación y validación</dc:subject>
  <dc:creator>ICE24 MX</dc:creator>
  <cp:keywords>ICE24 OS, Fase 5,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