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p/>
    <w:p/>
    <w:p>
      <w:r>
        <w:rPr>
          <w:b/>
          <w:color w:val="04144C"/>
          <w:sz w:val="60"/>
        </w:rPr>
        <w:t>ICE24</w:t>
      </w:r>
      <w:r>
        <w:rPr>
          <w:b/>
          <w:color w:val="0455C4"/>
          <w:sz w:val="34"/>
        </w:rPr>
        <w:t xml:space="preserve"> OS</w:t>
      </w:r>
    </w:p>
    <w:p>
      <w:pPr>
        <w:pStyle w:val="Ttulo"/>
      </w:pPr>
      <w:r>
        <w:t>Fase 3</w:t>
        <w:br/>
        <w:t>Identidad, multiempresa</w:t>
        <w:br/>
        <w:t>y autorización</w:t>
      </w:r>
    </w:p>
    <w:p>
      <w:pPr>
        <w:pStyle w:val="Subttulo"/>
      </w:pPr>
      <w:r>
        <w:t>Implementación versionada - evidencia local - gates operativos remotos</w:t>
      </w:r>
    </w:p>
    <w:p>
      <w:pPr>
        <w:spacing w:after="440"/>
        <w:pBdr>
          <w:bottom w:val="single" w:sz="20" w:color="9CD5EF"/>
        </w:pBdr>
      </w:pPr>
    </w:p>
    <w:p>
      <w:r>
        <w:rPr>
          <w:b/>
        </w:rPr>
        <w:t>Versión documental</w:t>
        <w:br/>
      </w:r>
      <w:r>
        <w:t>1.0</w:t>
        <w:br/>
        <w:br/>
      </w:r>
      <w:r>
        <w:rPr>
          <w:b/>
        </w:rPr>
        <w:t>Fecha de corte técnico</w:t>
        <w:br/>
      </w:r>
      <w:r>
        <w:t>1 de septiembre de 2026</w:t>
        <w:br/>
        <w:br/>
      </w:r>
      <w:r>
        <w:rPr>
          <w:b/>
        </w:rPr>
        <w:t>Fecha de publicación</w:t>
        <w:br/>
      </w:r>
      <w:r>
        <w:t>1 de septiembre de 2026</w:t>
        <w:br/>
        <w:br/>
      </w:r>
      <w:r>
        <w:rPr>
          <w:b/>
        </w:rPr>
        <w:t>Estado</w:t>
        <w:br/>
      </w:r>
      <w:r>
        <w:t>Implementación versionada terminada; validaciones remotas condicionadas</w:t>
        <w:br/>
        <w:br/>
      </w:r>
      <w:r>
        <w:rPr>
          <w:b/>
        </w:rPr>
        <w:t>Plataforma</w:t>
        <w:br/>
      </w:r>
      <w:r>
        <w:t>Supabase Auth + PostgreSQL - Next.js BFF - NestJS API</w:t>
        <w:br/>
        <w:br/>
      </w:r>
    </w:p>
    <w:p>
      <w:r>
        <w:rPr>
          <w:i/>
          <w:color w:val="5E687A"/>
        </w:rPr>
        <w:t>Documento confidencial de trabajo - ICE24</w:t>
      </w:r>
    </w:p>
    <w:p>
      <w:pPr>
        <w:pStyle w:val="Ttulo1"/>
      </w:pPr>
      <w:r>
        <w:t>Control del documento y resumen ejecutivo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1"/>
        <w:gridCol w:w="7269"/>
      </w:tblGrid>
      <w:tr>
        <w:trPr>
          <w:cantSplit/>
          <w:tblHeader w:val="true"/>
          <w:tblHeader w:val="true"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Campo</w:t>
            </w:r>
          </w:p>
        </w:tc>
        <w:tc>
          <w:tcPr>
            <w:tcW w:type="dxa" w:w="72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Propósito</w:t>
            </w:r>
          </w:p>
        </w:tc>
        <w:tc>
          <w:tcPr>
            <w:tcW w:type="dxa" w:w="72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Consolidar la implementación de Fase 3 y preparar su revisión, PoC remota y cierre operativo.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Audiencia</w:t>
            </w:r>
          </w:p>
        </w:tc>
        <w:tc>
          <w:tcPr>
            <w:tcW w:type="dxa" w:w="72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Dirección, Producto, Ingeniería, Seguridad, Operación, Soporte y responsables de cuenta.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Fuentes</w:t>
            </w:r>
          </w:p>
        </w:tc>
        <w:tc>
          <w:tcPr>
            <w:tcW w:type="dxa" w:w="72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Backlog F3, tareas F3-01..F3-14, ADR-017, matriz AUTHZ-BASE-v0.1, migracion, pruebas y código.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Alcance</w:t>
            </w:r>
          </w:p>
        </w:tc>
        <w:tc>
          <w:tcPr>
            <w:tcW w:type="dxa" w:w="72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Identidad, autenticación, sesiones BFF, contexto multiempresa, autorización, recuperación y auditoría.</w:t>
            </w:r>
          </w:p>
        </w:tc>
      </w:tr>
    </w:tbl>
    <w:p>
      <w:pPr>
        <w:pStyle w:val="Ttulo2"/>
      </w:pPr>
      <w:r>
        <w:t>Resultado</w:t>
      </w:r>
    </w:p>
    <w:p>
      <w:r>
        <w:t>La Fase 3 está terminada como implementación versionada. Entrega acceso privado, OIDC con PKCE, TOTP/AAL2, perfil local único, cuentas y membresías, sesiones de contexto, RBAC+ABAC, recuperación dual, revocación y auditoría de seguridad.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A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0455C4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55C4"/>
              </w:rPr>
              <w:t>Lectura correcta del estado</w:t>
              <w:br/>
            </w:r>
            <w:r>
              <w:t>Implementada no significa operada en producción. Sin proyecto Supabase, SMTP, credenciales, dos cuentas remotas y operadores humanos no se afirma entrega real de correo, TOTP remoto, propagación global o recuperación aprobada.</w:t>
            </w:r>
          </w:p>
        </w:tc>
      </w:tr>
    </w:tbl>
    <w:p>
      <w:pPr>
        <w:pStyle w:val="Ttulo1"/>
      </w:pPr>
      <w:r>
        <w:t>Contenido y guia de lectura</w:t>
      </w:r>
    </w:p>
    <w:p>
      <w:pPr>
        <w:pStyle w:val="Listaconnmeros"/>
        <w:numPr>
          <w:ilvl w:val="0"/>
          <w:numId w:val="16"/>
        </w:numPr>
      </w:pPr>
      <w:r>
        <w:t>Alcance, dependencias, criterios de cierre y arquitectura.</w:t>
      </w:r>
    </w:p>
    <w:p>
      <w:pPr>
        <w:pStyle w:val="Listaconnmeros"/>
        <w:numPr>
          <w:ilvl w:val="0"/>
          <w:numId w:val="16"/>
        </w:numPr>
      </w:pPr>
      <w:r>
        <w:t>Supabase Auth, BFF, OIDC Authorization Code + PKCE y perfil local.</w:t>
      </w:r>
    </w:p>
    <w:p>
      <w:pPr>
        <w:pStyle w:val="Listaconnmeros"/>
        <w:numPr>
          <w:ilvl w:val="0"/>
          <w:numId w:val="16"/>
        </w:numPr>
      </w:pPr>
      <w:r>
        <w:t>Modelo multiempresa, membresías y sesiones de contexto.</w:t>
      </w:r>
    </w:p>
    <w:p>
      <w:pPr>
        <w:pStyle w:val="Listaconnmeros"/>
        <w:numPr>
          <w:ilvl w:val="0"/>
          <w:numId w:val="16"/>
        </w:numPr>
      </w:pPr>
      <w:r>
        <w:t>Roles, permisos y evaluación RBAC+ABAC con denegación por defecto.</w:t>
      </w:r>
    </w:p>
    <w:p>
      <w:pPr>
        <w:pStyle w:val="Listaconnmeros"/>
        <w:numPr>
          <w:ilvl w:val="0"/>
          <w:numId w:val="16"/>
        </w:numPr>
      </w:pPr>
      <w:r>
        <w:t>MFA/AAL2, guards, API, persistencia y RLS.</w:t>
      </w:r>
    </w:p>
    <w:p>
      <w:pPr>
        <w:pStyle w:val="Listaconnmeros"/>
        <w:numPr>
          <w:ilvl w:val="0"/>
          <w:numId w:val="16"/>
        </w:numPr>
      </w:pPr>
      <w:r>
        <w:t>Invitaciones, revocación, recuperación y auditoría.</w:t>
      </w:r>
    </w:p>
    <w:p>
      <w:pPr>
        <w:pStyle w:val="Listaconnmeros"/>
        <w:numPr>
          <w:ilvl w:val="0"/>
          <w:numId w:val="16"/>
        </w:numPr>
      </w:pPr>
      <w:r>
        <w:t>Pantallas privadas, configuración y secretos.</w:t>
      </w:r>
    </w:p>
    <w:p>
      <w:pPr>
        <w:pStyle w:val="Listaconnmeros"/>
        <w:numPr>
          <w:ilvl w:val="0"/>
          <w:numId w:val="16"/>
        </w:numPr>
      </w:pPr>
      <w:r>
        <w:t>Evidencia de validación y estado F3-01 a F3-14.</w:t>
      </w:r>
    </w:p>
    <w:p>
      <w:pPr>
        <w:pStyle w:val="Listaconnmeros"/>
        <w:numPr>
          <w:ilvl w:val="0"/>
          <w:numId w:val="16"/>
        </w:numPr>
      </w:pPr>
      <w:r>
        <w:t>Gates externos, siguiente paso, trazabilidad y fuentes.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769AA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769AA"/>
              </w:rPr>
              <w:t>Convención de estado</w:t>
              <w:br/>
            </w:r>
            <w:r>
              <w:t>Verde: implementación y validación local. Ambar: PoC, operación o revisión humana pendiente. Rojo: control bloqueante; no se registraron bloqueos locales que invaliden la fase.</w:t>
            </w:r>
          </w:p>
        </w:tc>
      </w:tr>
    </w:tbl>
    <w:p>
      <w:pPr>
        <w:pStyle w:val="Ttulo1"/>
      </w:pPr>
      <w:r>
        <w:t>1. Alcance y objetivos de Fase 3</w:t>
      </w:r>
    </w:p>
    <w:p>
      <w:pPr>
        <w:pStyle w:val="Ttulo2"/>
      </w:pPr>
      <w:r>
        <w:t>1.1 Objetivo</w:t>
      </w:r>
    </w:p>
    <w:p>
      <w:r>
        <w:t>Establecer una identidad única por persona, acceso privado y autorización multiempresa verificable en cada solicitud, sin delegar los roles de negocio al proveedor de identidad.</w:t>
      </w:r>
    </w:p>
    <w:p>
      <w:pPr>
        <w:pStyle w:val="Ttulo2"/>
      </w:pPr>
      <w:r>
        <w:t>1.2 Incluido</w:t>
      </w:r>
    </w:p>
    <w:p>
      <w:pPr>
        <w:pStyle w:val="Listaconvietas"/>
      </w:pPr>
      <w:r>
        <w:t>Primer acceso, password, recuperación normal, OIDC + PKCE y TOTP.</w:t>
      </w:r>
    </w:p>
    <w:p>
      <w:pPr>
        <w:pStyle w:val="Listaconvietas"/>
      </w:pPr>
      <w:r>
        <w:t>Cookie BFF cifrada, CSRF/Origin, expiración absoluta y cierre de sesión.</w:t>
      </w:r>
    </w:p>
    <w:p>
      <w:pPr>
        <w:pStyle w:val="Listaconvietas"/>
      </w:pPr>
      <w:r>
        <w:t>Cuenta, propietario, membresías, roles, permisos, overrides y ámbitos.</w:t>
      </w:r>
    </w:p>
    <w:p>
      <w:pPr>
        <w:pStyle w:val="Listaconvietas"/>
      </w:pPr>
      <w:r>
        <w:t>Contexto activo, autorización RBAC+ABAC, revocación y auditoría append-only.</w:t>
      </w:r>
    </w:p>
    <w:p>
      <w:pPr>
        <w:pStyle w:val="Listaconvietas"/>
      </w:pPr>
      <w:r>
        <w:t>Recuperación manual con dos operadores y pantallas privadas responsivas.</w:t>
      </w:r>
    </w:p>
    <w:p>
      <w:pPr>
        <w:pStyle w:val="Ttulo2"/>
      </w:pPr>
      <w:r>
        <w:t>1.3 Fuera de alcance</w:t>
      </w:r>
    </w:p>
    <w:p>
      <w:r>
        <w:t>Los permisos de módulos de negocio futuros, datos reales, operación productiva, pentest, dictamen WCAG y definición juridica de evidencia se cierran en sus fases o gates autorizados.</w:t>
      </w:r>
    </w:p>
    <w:p>
      <w:pPr>
        <w:pStyle w:val="Ttulo1"/>
      </w:pPr>
      <w:r>
        <w:t>2. Dependencias, riesgos y criterios de cierre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23"/>
        <w:gridCol w:w="6197"/>
      </w:tblGrid>
      <w:tr>
        <w:trPr>
          <w:cantSplit/>
          <w:tblHeader w:val="true"/>
          <w:tblHeader w:val="true"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Dependencia o riesgo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Condición de cierre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ADR-017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Aprobación de Seguridad y Operación antes de producción.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Supabase / SMTP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Proyecto no productivo, redirects, correo, CAPTCHA y TOTP probados.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Multiempresa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E2E con dos cuentas y recursos cruzados rechazados sin filtración.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Recuperación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Operadores nominales y evidencia admisible aprobados por Jurídico/Seguridad.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Auditoría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Backend, alertas y retención definidos; reconciliación BFF operable.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Seguridad y UX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Pentest, rotación JWKS, WCAG 2.2 AA y revisión visual manual.</w:t>
            </w:r>
          </w:p>
        </w:tc>
      </w:tr>
    </w:tbl>
    <w:p>
      <w:pPr>
        <w:pStyle w:val="Ttulo2"/>
      </w:pPr>
      <w:r>
        <w:t>2.1 Cierre técnico</w:t>
      </w:r>
    </w:p>
    <w:p>
      <w:pPr>
        <w:pStyle w:val="Listaconvietas"/>
      </w:pPr>
      <w:r>
        <w:t>Contratos, migracion, API, BFF, UI, pruebas y documentación versionados.</w:t>
      </w:r>
    </w:p>
    <w:p>
      <w:pPr>
        <w:pStyle w:val="Listaconvietas"/>
      </w:pPr>
      <w:r>
        <w:t>Formato, lint, TypeScript, verificador de identidad, unitarias y build en verde.</w:t>
      </w:r>
    </w:p>
    <w:p>
      <w:pPr>
        <w:pStyle w:val="Listaconvietas"/>
      </w:pPr>
      <w:r>
        <w:t>Gates externos descritos sin simular evidencia ni usar datos reales.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DF8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6794D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6794D"/>
              </w:rPr>
              <w:t>Conclusión</w:t>
              <w:br/>
            </w:r>
            <w:r>
              <w:t>La implementación local de Fase 3 puede pasar a revisión. La PoC remota es un hito posterior y obligatorio para producción.</w:t>
            </w:r>
          </w:p>
        </w:tc>
      </w:tr>
    </w:tbl>
    <w:p>
      <w:pPr>
        <w:pStyle w:val="Ttulo1"/>
      </w:pPr>
      <w:r>
        <w:t>3. Arquitectura implementada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2574"/>
            <wp:docPr id="1" name="Picture 1" descr="Arquitectura de identidad de Fase 3 con BFF, Supabase Auth, API, PostgreSQL y autorizac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-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2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rPr>
          <w:i/>
          <w:color w:val="5E687A"/>
        </w:rPr>
        <w:t>Figura 1. Separacion entre autenticación, sesión de contexto y autorización.</w:t>
      </w:r>
    </w:p>
    <w:p>
      <w:r>
        <w:t>Supabase Auth demuestra identidad y factores. El BFF protege tokens en cookie cifrada. La API sincroniza el perfil, valida contexto y aplica política; PostgreSQL conserva membresías, permisos y auditoría con acceso solo de servidor.</w:t>
      </w:r>
    </w:p>
    <w:p>
      <w:pPr>
        <w:pStyle w:val="Ttulo1"/>
      </w:pPr>
      <w:r>
        <w:t>4. Supabase Auth y primer acceso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8"/>
        <w:gridCol w:w="6782"/>
      </w:tblGrid>
      <w:tr>
        <w:trPr>
          <w:cantSplit/>
          <w:tblHeader w:val="true"/>
          <w:tblHeader w:val="true"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Control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Implementación Fase 3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Alta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Invitation-only; signup público deshabilitado.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Password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Mínimo 12 caracteres y cambio inicial cuando corresponde.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Recuperación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Respuesta uniforme para no revelar si el correo existe.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TOTP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Alta, challenge y verificación; operaciones críticas requieren aal2.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Sesión global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Identidad autenticada independiente del contexto de cuenta.</w:t>
            </w:r>
          </w:p>
        </w:tc>
      </w:tr>
    </w:tbl>
    <w:p>
      <w:pPr>
        <w:pStyle w:val="Ttulo2"/>
      </w:pPr>
      <w:r>
        <w:t>4.1 Límite de responsabilidad</w:t>
      </w:r>
    </w:p>
    <w:p>
      <w:r>
        <w:t>El proveedor conserva credenciales, factores y sesión global. ICE24 OS conserva perfil, cuenta, membresía, contexto, autorización, recuperación administrativa y auditoría.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FFF5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A15C00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A15C00"/>
              </w:rPr>
              <w:t>Gate remoto</w:t>
              <w:br/>
            </w:r>
            <w:r>
              <w:t>Correo, TOTP, límites de intentos y revocación real deben comprobarse en un proyecto Supabase autorizado.</w:t>
            </w:r>
          </w:p>
        </w:tc>
      </w:tr>
    </w:tbl>
    <w:p>
      <w:pPr>
        <w:pStyle w:val="Ttulo1"/>
      </w:pPr>
      <w:r>
        <w:t>5. Sesión BFF y protección del navegador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41"/>
        <w:gridCol w:w="6879"/>
      </w:tblGrid>
      <w:tr>
        <w:trPr>
          <w:cantSplit/>
          <w:tblHeader w:val="true"/>
          <w:tblHeader w:val="true"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Control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Comportamiento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Cookie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AES-256-GCM, HttpOnly, SameSite=Lax y Secure en producción.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Duración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Máximo absoluto de 12 horas; expiración validada al leer.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Mutaciones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Origen permitido y token CSRF obligatorio.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Tokens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Access/refresh tokens no quedan accesibles a JavaScript ni localStorage.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Rotación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Cambiar BFF_SESSION_SECRET invalida cookies existentes.</w:t>
            </w:r>
          </w:p>
        </w:tc>
      </w:tr>
    </w:tbl>
    <w:p>
      <w:pPr>
        <w:pStyle w:val="Ttulo2"/>
      </w:pPr>
      <w:r>
        <w:t>5.1 Propiedades verificadas</w:t>
      </w:r>
    </w:p>
    <w:p>
      <w:pPr>
        <w:pStyle w:val="Listaconvietas"/>
      </w:pPr>
      <w:r>
        <w:t>Round-trip de cifrado y lectura controlada.</w:t>
      </w:r>
    </w:p>
    <w:p>
      <w:pPr>
        <w:pStyle w:val="Listaconvietas"/>
      </w:pPr>
      <w:r>
        <w:t>El texto del token no aparece dentro de la cookie.</w:t>
      </w:r>
    </w:p>
    <w:p>
      <w:pPr>
        <w:pStyle w:val="Listaconvietas"/>
      </w:pPr>
      <w:r>
        <w:t>Alteracion del valor y expiración producen rechazo.</w:t>
      </w:r>
    </w:p>
    <w:p>
      <w:pPr>
        <w:pStyle w:val="Listaconvietas"/>
      </w:pPr>
      <w:r>
        <w:t>Las rutas privadas usan la misma política de sesión.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A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0455C4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55C4"/>
              </w:rPr>
              <w:t>Principio</w:t>
              <w:br/>
            </w:r>
            <w:r>
              <w:t>El navegador recibe una referencia de sesión protegida; nunca se usa la ocultación de UI como control de acceso.</w:t>
            </w:r>
          </w:p>
        </w:tc>
      </w:tr>
    </w:tbl>
    <w:p>
      <w:pPr>
        <w:pStyle w:val="Ttulo1"/>
      </w:pPr>
      <w:r>
        <w:t>6. OIDC Authorization Code + PKCE</w:t>
      </w:r>
    </w:p>
    <w:p>
      <w:pPr>
        <w:pStyle w:val="Ttulo2"/>
      </w:pPr>
      <w:r>
        <w:t>6.1 Secuencia</w:t>
      </w:r>
    </w:p>
    <w:p>
      <w:pPr>
        <w:pStyle w:val="Listaconnmeros"/>
        <w:numPr>
          <w:ilvl w:val="0"/>
          <w:numId w:val="17"/>
        </w:numPr>
      </w:pPr>
      <w:r>
        <w:t>Generar state, nonce, code_verifier y challenge S256 en el BFF.</w:t>
      </w:r>
    </w:p>
    <w:p>
      <w:pPr>
        <w:pStyle w:val="Listaconnmeros"/>
        <w:numPr>
          <w:ilvl w:val="0"/>
          <w:numId w:val="17"/>
        </w:numPr>
      </w:pPr>
      <w:r>
        <w:t>Redirigir al issuer allowlisted sin exponer secretos del servidor.</w:t>
      </w:r>
    </w:p>
    <w:p>
      <w:pPr>
        <w:pStyle w:val="Listaconnmeros"/>
        <w:numPr>
          <w:ilvl w:val="0"/>
          <w:numId w:val="17"/>
        </w:numPr>
      </w:pPr>
      <w:r>
        <w:t>Validar state y canjear el code con el code_verifier original.</w:t>
      </w:r>
    </w:p>
    <w:p>
      <w:pPr>
        <w:pStyle w:val="Listaconnmeros"/>
        <w:numPr>
          <w:ilvl w:val="0"/>
          <w:numId w:val="17"/>
        </w:numPr>
      </w:pPr>
      <w:r>
        <w:t>Validar ID/access token y crear la cookie BFF cifrada.</w:t>
      </w:r>
    </w:p>
    <w:p>
      <w:pPr>
        <w:pStyle w:val="Listaconnmeros"/>
        <w:numPr>
          <w:ilvl w:val="0"/>
          <w:numId w:val="17"/>
        </w:numPr>
      </w:pPr>
      <w:r>
        <w:t>Sincronizar el perfil local por el claim sub y registrar el acceso.</w:t>
      </w:r>
    </w:p>
    <w:p>
      <w:pPr>
        <w:pStyle w:val="Ttulo2"/>
      </w:pPr>
      <w:r>
        <w:t>6.2 Validación del token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44"/>
        <w:gridCol w:w="6976"/>
      </w:tblGrid>
      <w:tr>
        <w:trPr>
          <w:cantSplit/>
          <w:tblHeader w:val="true"/>
          <w:tblHeader w:val="true"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Elemento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Regla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Algoritmo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RS256; no se aceptan algoritmos alternos.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Llave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kid resuelto por discovery/JWKS del issuer confiable.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Claims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issuer, audience y expiración obligatorios.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Rotación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Las llaves se redescubren; no se fija un secreto JWT.</w:t>
            </w:r>
          </w:p>
        </w:tc>
      </w:tr>
    </w:tbl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FFF5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A15C00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A15C00"/>
              </w:rPr>
              <w:t>PoC requerida</w:t>
              <w:br/>
            </w:r>
            <w:r>
              <w:t>La rotación JWKS y el discovery real no se declaran probados sin proyecto remoto.</w:t>
            </w:r>
          </w:p>
        </w:tc>
      </w:tr>
    </w:tbl>
    <w:p>
      <w:pPr>
        <w:pStyle w:val="Ttulo1"/>
      </w:pPr>
      <w:r>
        <w:t>7. Perfil local y enlace con identidad externa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33"/>
        <w:gridCol w:w="6587"/>
      </w:tblGrid>
      <w:tr>
        <w:trPr>
          <w:cantSplit/>
          <w:tblHeader w:val="true"/>
          <w:tblHeader w:val="true"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Campo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Regla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identity_subject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Identificador estable del proveedor; único y obligatorio.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Normalizado y único sin distinguir mayúsculas.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username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Normalizado, único y separado de los roles de negocio.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status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Estado local evaluado ademas de la sesión externa.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last_identity_sync_at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Marca la última sincronización verificada.</w:t>
            </w:r>
          </w:p>
        </w:tc>
      </w:tr>
    </w:tbl>
    <w:p>
      <w:pPr>
        <w:pStyle w:val="Ttulo2"/>
      </w:pPr>
      <w:r>
        <w:t>7.1 Sincronización</w:t>
      </w:r>
    </w:p>
    <w:p>
      <w:pPr>
        <w:pStyle w:val="Listaconvietas"/>
      </w:pPr>
      <w:r>
        <w:t>El guard autentica el token antes de tocar el perfil.</w:t>
      </w:r>
    </w:p>
    <w:p>
      <w:pPr>
        <w:pStyle w:val="Listaconvietas"/>
      </w:pPr>
      <w:r>
        <w:t>Una invitación pendiente se enlaza por correo normalizado.</w:t>
      </w:r>
    </w:p>
    <w:p>
      <w:pPr>
        <w:pStyle w:val="Listaconvietas"/>
      </w:pPr>
      <w:r>
        <w:t>Una persona con varias cuentas conserva un solo perfil.</w:t>
      </w:r>
    </w:p>
    <w:p>
      <w:pPr>
        <w:pStyle w:val="Listaconvietas"/>
      </w:pPr>
      <w:r>
        <w:t>Colisiones y cambios de correo reales permanecen en la PoC anonimizada.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769AA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769AA"/>
              </w:rPr>
              <w:t>Fuente de verdad</w:t>
              <w:br/>
            </w:r>
            <w:r>
              <w:t>Supabase prueba quién es la persona; ICE24 OS decide que puede hacer dentro de cada cuenta.</w:t>
            </w:r>
          </w:p>
        </w:tc>
      </w:tr>
    </w:tbl>
    <w:p>
      <w:pPr>
        <w:pStyle w:val="Ttulo1"/>
      </w:pPr>
      <w:r>
        <w:t>8. Modelo multiempresa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44"/>
        <w:gridCol w:w="6976"/>
      </w:tblGrid>
      <w:tr>
        <w:trPr>
          <w:cantSplit/>
          <w:tblHeader w:val="true"/>
          <w:tblHeader w:val="true"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Entidad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Usuario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Identidad local única enlazada al subject externo.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Cuenta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Límite principal de aislamiento y modo operativo.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Membresía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Relación histórica usuario-cuenta con vigencia y estado.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Rol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Conjunto base de permisos; nueve códigos iniciales.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Scope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Restricción account, branch, machine o business.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Contexto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Cuenta activa y nivel de aseguramiento de la sesión.</w:t>
            </w:r>
          </w:p>
        </w:tc>
      </w:tr>
    </w:tbl>
    <w:p>
      <w:pPr>
        <w:pStyle w:val="Ttulo2"/>
      </w:pPr>
      <w:r>
        <w:t>8.1 Invariantes</w:t>
      </w:r>
    </w:p>
    <w:p>
      <w:pPr>
        <w:pStyle w:val="Listaconvietas"/>
      </w:pPr>
      <w:r>
        <w:t>Una membresía activa no autoriza recursos de otra cuenta.</w:t>
      </w:r>
    </w:p>
    <w:p>
      <w:pPr>
        <w:pStyle w:val="Listaconvietas"/>
      </w:pPr>
      <w:r>
        <w:t>El propietario principal es único por cuenta mientras este vigente.</w:t>
      </w:r>
    </w:p>
    <w:p>
      <w:pPr>
        <w:pStyle w:val="Listaconvietas"/>
      </w:pPr>
      <w:r>
        <w:t>No se duplican identidades para representar varias cuentas.</w:t>
      </w:r>
    </w:p>
    <w:p>
      <w:pPr>
        <w:pStyle w:val="Listaconvietas"/>
      </w:pPr>
      <w:r>
        <w:t>Las llaves de sucursal/máquina se agregaran con sus fases de dominio.</w:t>
      </w:r>
    </w:p>
    <w:p>
      <w:pPr>
        <w:pStyle w:val="Ttulo1"/>
      </w:pPr>
      <w:r>
        <w:t>9. Selector y sesión de contexto</w:t>
      </w:r>
    </w:p>
    <w:p>
      <w:pPr>
        <w:pStyle w:val="Ttulo2"/>
      </w:pPr>
      <w:r>
        <w:t>9.1 Activación</w:t>
      </w:r>
    </w:p>
    <w:p>
      <w:pPr>
        <w:pStyle w:val="Listaconnmeros"/>
        <w:numPr>
          <w:ilvl w:val="0"/>
          <w:numId w:val="18"/>
        </w:numPr>
      </w:pPr>
      <w:r>
        <w:t>Listar solo membresías activas y vigentes de la persona.</w:t>
      </w:r>
    </w:p>
    <w:p>
      <w:pPr>
        <w:pStyle w:val="Listaconnmeros"/>
        <w:numPr>
          <w:ilvl w:val="0"/>
          <w:numId w:val="18"/>
        </w:numPr>
      </w:pPr>
      <w:r>
        <w:t>Elegir una cuenta sin repetir el login global.</w:t>
      </w:r>
    </w:p>
    <w:p>
      <w:pPr>
        <w:pStyle w:val="Listaconnmeros"/>
        <w:numPr>
          <w:ilvl w:val="0"/>
          <w:numId w:val="18"/>
        </w:numPr>
      </w:pPr>
      <w:r>
        <w:t>Ejecutar identity.activate_context con usuario, cuenta y AAL.</w:t>
      </w:r>
    </w:p>
    <w:p>
      <w:pPr>
        <w:pStyle w:val="Listaconnmeros"/>
        <w:numPr>
          <w:ilvl w:val="0"/>
          <w:numId w:val="18"/>
        </w:numPr>
      </w:pPr>
      <w:r>
        <w:t>Revocar el contexto anterior de la misma sesión de identidad.</w:t>
      </w:r>
    </w:p>
    <w:p>
      <w:pPr>
        <w:pStyle w:val="Listaconnmeros"/>
        <w:numPr>
          <w:ilvl w:val="0"/>
          <w:numId w:val="18"/>
        </w:numPr>
      </w:pPr>
      <w:r>
        <w:t>Revalidar membresía, cuenta y revocación en cada solicitud.</w:t>
      </w:r>
    </w:p>
    <w:p>
      <w:pPr>
        <w:pStyle w:val="Ttulo2"/>
      </w:pPr>
      <w:r>
        <w:t>9.2 Estados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8"/>
        <w:gridCol w:w="6782"/>
      </w:tblGrid>
      <w:tr>
        <w:trPr>
          <w:cantSplit/>
          <w:tblHeader w:val="true"/>
          <w:tblHeader w:val="true"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Estado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Efecto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ACTIVE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Lecturas y comandos sujetos a permisos/atributos.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READ_ONLY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Conserva lectura autorizada; bloquea mutaciones.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SUSPENDED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Niega acceso operativo al contexto.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REVOKED / vencido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La siguiente llamada falla aunque la UI siga abierta.</w:t>
            </w:r>
          </w:p>
        </w:tc>
      </w:tr>
    </w:tbl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769AA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769AA"/>
              </w:rPr>
              <w:t>Aislamiento</w:t>
              <w:br/>
            </w:r>
            <w:r>
              <w:t>Cambiar de cuenta cambia el contexto; no reescribe la identidad global ni mezcla datos.</w:t>
            </w:r>
          </w:p>
        </w:tc>
      </w:tr>
    </w:tbl>
    <w:p>
      <w:pPr>
        <w:pStyle w:val="Ttulo1"/>
      </w:pPr>
      <w:r>
        <w:t>10. Roles base y acciones reservadas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72"/>
        <w:gridCol w:w="3021"/>
        <w:gridCol w:w="5027"/>
      </w:tblGrid>
      <w:tr>
        <w:trPr>
          <w:cantSplit/>
          <w:tblHeader w:val="true"/>
          <w:tblHeader w:val="true"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Código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Rol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Ámbito máximo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IA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ICE24 Admin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Global, acción explicita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IO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ICE24 Operaciones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Global operativo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OW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Propietario de cuenta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Su cuenta y asociaciones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TC / OP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Técnico / Operador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Asignaciones autorizadas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SA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Responsable sanitario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Ámbito sanitario asignado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DV / RA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Repartidor / Restaurante Admin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Relación o negocio propio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AU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Consulta / Auditor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Lectura expresamente concedida</w:t>
            </w:r>
          </w:p>
        </w:tc>
      </w:tr>
    </w:tbl>
    <w:p>
      <w:pPr>
        <w:pStyle w:val="Ttulo2"/>
      </w:pPr>
      <w:r>
        <w:t>10.1 Reservas</w:t>
      </w:r>
    </w:p>
    <w:p>
      <w:pPr>
        <w:pStyle w:val="Listaconvietas"/>
      </w:pPr>
      <w:r>
        <w:t>Solo IA: alta global, revocación global, override y feature flags globales.</w:t>
      </w:r>
    </w:p>
    <w:p>
      <w:pPr>
        <w:pStyle w:val="Listaconvietas"/>
      </w:pPr>
      <w:r>
        <w:t>Recuperación manual: dos operadores distintos; nadie se autoaprueba.</w:t>
      </w:r>
    </w:p>
    <w:p>
      <w:pPr>
        <w:pStyle w:val="Listaconvietas"/>
      </w:pPr>
      <w:r>
        <w:t>Modo lectura bloquea comandos aun cuando el rol normalmente los permita.</w:t>
      </w:r>
    </w:p>
    <w:p>
      <w:pPr>
        <w:pStyle w:val="Ttulo1"/>
      </w:pPr>
      <w:r>
        <w:t>11. Autorización hibrida RBAC + ABAC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45156"/>
            <wp:docPr id="2" name="Picture 2" descr="Secuencia de evaluacion RBAC y ABAC con identidad, contexto, cuenta, permiso y atribu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-authoriz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rPr>
          <w:i/>
          <w:color w:val="5E687A"/>
        </w:rPr>
        <w:t>Figura 2. Orden de decisión con denegación por defecto.</w:t>
      </w:r>
    </w:p>
    <w:p>
      <w:pPr>
        <w:pStyle w:val="Ttulo2"/>
      </w:pPr>
      <w:r>
        <w:t>11.1 Atributos evaluados</w:t>
      </w:r>
    </w:p>
    <w:p>
      <w:pPr>
        <w:pStyle w:val="Listaconvietas"/>
      </w:pPr>
      <w:r>
        <w:t>Estado y vigencia de membresía/contexto; modo de la cuenta.</w:t>
      </w:r>
    </w:p>
    <w:p>
      <w:pPr>
        <w:pStyle w:val="Listaconvietas"/>
      </w:pPr>
      <w:r>
        <w:t>Cuenta del recurso, permiso explicito y overrides DENY/ALLOW.</w:t>
      </w:r>
    </w:p>
    <w:p>
      <w:pPr>
        <w:pStyle w:val="Listaconvietas"/>
      </w:pPr>
      <w:r>
        <w:t>Clasificación de datos, sucursal, máquina, negocio y scopes account-wide.</w:t>
      </w:r>
    </w:p>
    <w:p>
      <w:pPr>
        <w:pStyle w:val="Listaconvietas"/>
      </w:pPr>
      <w:r>
        <w:t>Nivel AAL exigido por la operación y el rol.</w:t>
      </w:r>
    </w:p>
    <w:p>
      <w:pPr>
        <w:pStyle w:val="Ttulo1"/>
      </w:pPr>
      <w:r>
        <w:t>12. Resultados negativos y deep links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23"/>
        <w:gridCol w:w="1364"/>
        <w:gridCol w:w="4833"/>
      </w:tblGrid>
      <w:tr>
        <w:trPr>
          <w:cantSplit/>
          <w:tblHeader w:val="true"/>
          <w:tblHeader w:val="true"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Situación</w:t>
            </w:r>
          </w:p>
        </w:tc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Respuesta</w:t>
            </w:r>
          </w:p>
        </w:tc>
        <w:tc>
          <w:tcPr>
            <w:tcW w:type="dxa" w:w="48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Razon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Sin identidad</w:t>
            </w:r>
          </w:p>
        </w:tc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401</w:t>
            </w:r>
          </w:p>
        </w:tc>
        <w:tc>
          <w:tcPr>
            <w:tcW w:type="dxa" w:w="48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No existe sesión autenticada valida.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Sin contexto</w:t>
            </w:r>
          </w:p>
        </w:tc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403</w:t>
            </w:r>
          </w:p>
        </w:tc>
        <w:tc>
          <w:tcPr>
            <w:tcW w:type="dxa" w:w="48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La identidad no selecciono una cuenta vigente.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Sin permiso/AAL</w:t>
            </w:r>
          </w:p>
        </w:tc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403</w:t>
            </w:r>
          </w:p>
        </w:tc>
        <w:tc>
          <w:tcPr>
            <w:tcW w:type="dxa" w:w="48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La política o el aseguramiento son insuficientes.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Recurso de otra cuenta</w:t>
            </w:r>
          </w:p>
        </w:tc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404</w:t>
            </w:r>
          </w:p>
        </w:tc>
        <w:tc>
          <w:tcPr>
            <w:tcW w:type="dxa" w:w="48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Se oculta su existencia y metadatos.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Recurso inexistente</w:t>
            </w:r>
          </w:p>
        </w:tc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404</w:t>
            </w:r>
          </w:p>
        </w:tc>
        <w:tc>
          <w:tcPr>
            <w:tcW w:type="dxa" w:w="48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Misma superficie externa que un recurso ajeno.</w:t>
            </w:r>
          </w:p>
        </w:tc>
      </w:tr>
    </w:tbl>
    <w:p>
      <w:pPr>
        <w:pStyle w:val="Ttulo2"/>
      </w:pPr>
      <w:r>
        <w:t>12.1 Regla de resolución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/>
              <w:ind w:left="0" w:right="0" w:firstLine="0"/>
            </w:pPr>
            <w:r>
              <w:rPr>
                <w:rFonts w:ascii="Consolas" w:hAnsi="Consolas"/>
                <w:sz w:val="17"/>
              </w:rPr>
              <w:t>identidad -&gt; contexto -&gt; politica -&gt; localizar recurso en cuenta</w:t>
              <w:br/>
              <w:t>fallo temprano: 401/403</w:t>
              <w:br/>
              <w:t>recurso ausente o ajeno: 404 sin metadatos</w:t>
            </w:r>
          </w:p>
        </w:tc>
      </w:tr>
    </w:tbl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769AA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769AA"/>
              </w:rPr>
              <w:t>No filtración</w:t>
              <w:br/>
            </w:r>
            <w:r>
              <w:t>Un deep link nunca confirma que existe un objeto perteneciente a otra cuenta.</w:t>
            </w:r>
          </w:p>
        </w:tc>
      </w:tr>
    </w:tbl>
    <w:p>
      <w:pPr>
        <w:pStyle w:val="Ttulo1"/>
      </w:pPr>
      <w:r>
        <w:t>13. MFA, AAL2 y reautenticación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23"/>
        <w:gridCol w:w="6197"/>
      </w:tblGrid>
      <w:tr>
        <w:trPr>
          <w:cantSplit/>
          <w:tblHeader w:val="true"/>
          <w:tblHeader w:val="true"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Operación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Control base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Alta global de cuenta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IA y aal2.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Cambios de permisos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Rol autorizado, contexto vigente y aal2.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Recuperación manual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Dos operadores distintos, ambos con aal2.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Publicación sensible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Rol nominativo y reautenticación cuando aplique.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Lectura común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aal1 puede bastar si clase, rol y scope lo permiten.</w:t>
            </w:r>
          </w:p>
        </w:tc>
      </w:tr>
    </w:tbl>
    <w:p>
      <w:pPr>
        <w:pStyle w:val="Ttulo2"/>
      </w:pPr>
      <w:r>
        <w:t>13.1 TOTP</w:t>
      </w:r>
    </w:p>
    <w:p>
      <w:pPr>
        <w:pStyle w:val="Listaconvietas"/>
      </w:pPr>
      <w:r>
        <w:t>La semilla y el código nunca se escriben en logs.</w:t>
      </w:r>
    </w:p>
    <w:p>
      <w:pPr>
        <w:pStyle w:val="Listaconvietas"/>
      </w:pPr>
      <w:r>
        <w:t>El challenge fallido genera evento de seguridad redactado.</w:t>
      </w:r>
    </w:p>
    <w:p>
      <w:pPr>
        <w:pStyle w:val="Listaconvietas"/>
      </w:pPr>
      <w:r>
        <w:t>Recordar dispositivo permanece deshabilitado en el piloto.</w:t>
      </w:r>
    </w:p>
    <w:p>
      <w:pPr>
        <w:pStyle w:val="Listaconvietas"/>
      </w:pPr>
      <w:r>
        <w:t>La política final de intentos se valida en la PoC del proveedor.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A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0455C4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55C4"/>
              </w:rPr>
              <w:t>Separacion</w:t>
              <w:br/>
            </w:r>
            <w:r>
              <w:t>Tener una sesión valida no implica contar con el AAL requerido para una acción crítica.</w:t>
            </w:r>
          </w:p>
        </w:tc>
      </w:tr>
    </w:tbl>
    <w:p>
      <w:pPr>
        <w:pStyle w:val="Ttulo1"/>
      </w:pPr>
      <w:r>
        <w:t>14. API, autenticación y guards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8"/>
        <w:gridCol w:w="6392"/>
      </w:tblGrid>
      <w:tr>
        <w:trPr>
          <w:cantSplit/>
          <w:tblHeader w:val="true"/>
          <w:tblHeader w:val="true"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Capa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AuthenticationGuard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Bearer token, discovery/JWKS, claims y sincronización local.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AuthorizationGuard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Exige política explicita y evalua sujeto/contexto/recurso.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IdentityController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Perfil, contextos, sesiones y revocación propia.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AdminIdentityController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Cuenta, membresías y recuperación protegidas.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InternalSecurityController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Auditoría BFF con secreto servidor-servidor.</w:t>
            </w:r>
          </w:p>
        </w:tc>
      </w:tr>
    </w:tbl>
    <w:p>
      <w:pPr>
        <w:pStyle w:val="Ttulo2"/>
      </w:pPr>
      <w:r>
        <w:t>14.1 Endpoints principales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before="0"/>
              <w:ind w:left="0" w:right="0" w:firstLine="0"/>
            </w:pPr>
            <w:r>
              <w:rPr>
                <w:rFonts w:ascii="Consolas" w:hAnsi="Consolas"/>
                <w:sz w:val="17"/>
              </w:rPr>
              <w:t>GET/PATCH /v1/me            GET /v1/me/contexts</w:t>
              <w:br/>
              <w:t>POST /v1/session-contexts    GET/DELETE /v1/session-contexts/current</w:t>
              <w:br/>
              <w:t>GET/DELETE /v1/me/sessions   POST /v1/me/sessions/revoke-all</w:t>
              <w:br/>
              <w:t>POST /v1/admin/accounts      POST /v1/identity-recovery-cases</w:t>
            </w:r>
          </w:p>
        </w:tc>
      </w:tr>
    </w:tbl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B42318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B42318"/>
              </w:rPr>
              <w:t>Default deny</w:t>
              <w:br/>
            </w:r>
            <w:r>
              <w:t>Un endpoint privado sin política explicita es rechazado por el guard.</w:t>
            </w:r>
          </w:p>
        </w:tc>
      </w:tr>
    </w:tbl>
    <w:p>
      <w:pPr>
        <w:pStyle w:val="Ttulo1"/>
      </w:pPr>
      <w:r>
        <w:t>15. Persistencia, RLS y defensa en profundidad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6"/>
        <w:gridCol w:w="7074"/>
      </w:tblGrid>
      <w:tr>
        <w:trPr>
          <w:cantSplit/>
          <w:tblHeader w:val="true"/>
          <w:tblHeader w:val="true"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Esquema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Objetos principales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identity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users, accounts, memberships, invitations, contexts, recovery e idempotency.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authz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roles, permissions, role permissions, overrides y scopes.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audit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security_events inmutables con actor, sujeto, cuenta y correlación.</w:t>
            </w:r>
          </w:p>
        </w:tc>
      </w:tr>
    </w:tbl>
    <w:p>
      <w:pPr>
        <w:pStyle w:val="Ttulo2"/>
      </w:pPr>
      <w:r>
        <w:t>15.1 Controles</w:t>
      </w:r>
    </w:p>
    <w:p>
      <w:pPr>
        <w:pStyle w:val="Listaconvietas"/>
      </w:pPr>
      <w:r>
        <w:t>RLS habilitado en todas las tablas de Fase 3.</w:t>
      </w:r>
    </w:p>
    <w:p>
      <w:pPr>
        <w:pStyle w:val="Listaconvietas"/>
      </w:pPr>
      <w:r>
        <w:t>Sin grants para anon/authenticated sobre identity, authz o audit.</w:t>
      </w:r>
    </w:p>
    <w:p>
      <w:pPr>
        <w:pStyle w:val="Listaconvietas"/>
      </w:pPr>
      <w:r>
        <w:t>Service role disponible solo para API/BFF del servidor.</w:t>
      </w:r>
    </w:p>
    <w:p>
      <w:pPr>
        <w:pStyle w:val="Listaconvietas"/>
      </w:pPr>
      <w:r>
        <w:t>UPDATE y DELETE de eventos de seguridad se rechazan por trigger.</w:t>
      </w:r>
    </w:p>
    <w:p>
      <w:pPr>
        <w:pStyle w:val="Listaconvietas"/>
      </w:pPr>
      <w:r>
        <w:t>Funciones de contexto y recuperación encapsulan invariantes transaccionales.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769AA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769AA"/>
              </w:rPr>
              <w:t>Defensa adicional</w:t>
              <w:br/>
            </w:r>
            <w:r>
              <w:t>RLS no sustituye la autorización de servidor; limita el impacto de un error de aplicación.</w:t>
            </w:r>
          </w:p>
        </w:tc>
      </w:tr>
    </w:tbl>
    <w:p>
      <w:pPr>
        <w:pStyle w:val="Ttulo1"/>
      </w:pPr>
      <w:r>
        <w:t>16. Alta de cuenta e invitación privada</w:t>
      </w:r>
    </w:p>
    <w:p>
      <w:pPr>
        <w:pStyle w:val="Ttulo2"/>
      </w:pPr>
      <w:r>
        <w:t>16.1 Secuencia</w:t>
      </w:r>
    </w:p>
    <w:p>
      <w:pPr>
        <w:pStyle w:val="Listaconnmeros"/>
        <w:numPr>
          <w:ilvl w:val="0"/>
          <w:numId w:val="19"/>
        </w:numPr>
      </w:pPr>
      <w:r>
        <w:t>IA con aal2 envia una solicitud idempotente de alta.</w:t>
      </w:r>
    </w:p>
    <w:p>
      <w:pPr>
        <w:pStyle w:val="Listaconnmeros"/>
        <w:numPr>
          <w:ilvl w:val="0"/>
          <w:numId w:val="19"/>
        </w:numPr>
      </w:pPr>
      <w:r>
        <w:t>La API crea cuenta, propietario OW, scope y registro de invitación.</w:t>
      </w:r>
    </w:p>
    <w:p>
      <w:pPr>
        <w:pStyle w:val="Listaconnmeros"/>
        <w:numPr>
          <w:ilvl w:val="0"/>
          <w:numId w:val="19"/>
        </w:numPr>
      </w:pPr>
      <w:r>
        <w:t>El cliente administrativo solicita la invitación a Supabase Auth.</w:t>
      </w:r>
    </w:p>
    <w:p>
      <w:pPr>
        <w:pStyle w:val="Listaconnmeros"/>
        <w:numPr>
          <w:ilvl w:val="0"/>
          <w:numId w:val="19"/>
        </w:numPr>
      </w:pPr>
      <w:r>
        <w:t>El primer login enlaza el subject con el perfil local por correo normalizado.</w:t>
      </w:r>
    </w:p>
    <w:p>
      <w:pPr>
        <w:pStyle w:val="Listaconnmeros"/>
        <w:numPr>
          <w:ilvl w:val="0"/>
          <w:numId w:val="19"/>
        </w:numPr>
      </w:pPr>
      <w:r>
        <w:t>La membresía se activa sin duplicar la persona ni la cuenta.</w:t>
      </w:r>
    </w:p>
    <w:p>
      <w:pPr>
        <w:pStyle w:val="Ttulo2"/>
      </w:pPr>
      <w:r>
        <w:t>16.2 Controles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33"/>
        <w:gridCol w:w="6587"/>
      </w:tblGrid>
      <w:tr>
        <w:trPr>
          <w:cantSplit/>
          <w:tblHeader w:val="true"/>
          <w:tblHeader w:val="true"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Control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Efecto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Idempotency-Key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Evita cuentas duplicadas por reintentos del actor.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Propietario único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Constraint parcial protege la membresía principal.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Invitation-only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No existe registro público ni autoasignación de roles.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Auditoría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ACCOUNT_CREATED y MEMBERSHIP_CHANGED quedan correlacionados.</w:t>
            </w:r>
          </w:p>
        </w:tc>
      </w:tr>
    </w:tbl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FFF5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A15C00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A15C00"/>
              </w:rPr>
              <w:t>Riesgo operativo</w:t>
              <w:br/>
            </w:r>
            <w:r>
              <w:t>La PoC debe reconciliar el caso en que la transacción local termina y el envio remoto falla.</w:t>
            </w:r>
          </w:p>
        </w:tc>
      </w:tr>
    </w:tbl>
    <w:p>
      <w:pPr>
        <w:pStyle w:val="Ttulo1"/>
      </w:pPr>
      <w:r>
        <w:t>17. Membresías, permisos, overrides y scopes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33"/>
        <w:gridCol w:w="6587"/>
      </w:tblGrid>
      <w:tr>
        <w:trPr>
          <w:cantSplit/>
          <w:tblHeader w:val="true"/>
          <w:tblHeader w:val="true"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Componente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Regla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Membresía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Conserva historial, estado, vigencia y rol dentro de una cuenta.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Role permission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Asocia el rol base con acciones autorizadas.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Override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ALLOW o DENY nominativo; DENY tiene precedencia.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Scope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Account, branch, machine o business; puede ser account-wide.</w:t>
            </w:r>
          </w:p>
        </w:tc>
      </w:tr>
      <w:tr>
        <w:trPr>
          <w:cantSplit/>
        </w:trPr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Transición</w:t>
            </w:r>
          </w:p>
        </w:tc>
        <w:tc>
          <w:tcPr>
            <w:tcW w:type="dxa" w:w="65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Activar, suspender o revocar requiere permiso y auditoría.</w:t>
            </w:r>
          </w:p>
        </w:tc>
      </w:tr>
    </w:tbl>
    <w:p>
      <w:pPr>
        <w:pStyle w:val="Ttulo2"/>
      </w:pPr>
      <w:r>
        <w:t>17.1 Evolución</w:t>
      </w:r>
    </w:p>
    <w:p>
      <w:pPr>
        <w:pStyle w:val="Listaconvietas"/>
      </w:pPr>
      <w:r>
        <w:t>La matriz inicial se versiona como AUTHZ-BASE-v0.1.</w:t>
      </w:r>
    </w:p>
    <w:p>
      <w:pPr>
        <w:pStyle w:val="Listaconvietas"/>
      </w:pPr>
      <w:r>
        <w:t>Los permisos de dominios futuros se agregan solo con su fase.</w:t>
      </w:r>
    </w:p>
    <w:p>
      <w:pPr>
        <w:pStyle w:val="Listaconvietas"/>
      </w:pPr>
      <w:r>
        <w:t>Sucursal y máquina conservan UUID opcionales hasta crear agregados reales.</w:t>
      </w:r>
    </w:p>
    <w:p>
      <w:pPr>
        <w:pStyle w:val="Listaconvietas"/>
      </w:pPr>
      <w:r>
        <w:t>Todo cambio sensible se prueba con casos positivos y negativos.</w:t>
      </w:r>
    </w:p>
    <w:p>
      <w:pPr>
        <w:pStyle w:val="Ttulo1"/>
      </w:pPr>
      <w:r>
        <w:t>18. Ciclo de sesiones y revocación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31"/>
        <w:gridCol w:w="6489"/>
      </w:tblGrid>
      <w:tr>
        <w:trPr>
          <w:cantSplit/>
          <w:tblHeader w:val="true"/>
          <w:tblHeader w:val="true"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Acción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9"/>
              </w:rPr>
              <w:t>Alcance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Cerrar contexto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Revoca la cuenta activa; la identidad global puede continuar.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Cerrar sesión propia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Revoca el contexto/sesión seleccionados del usuario.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Cerrar todas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Revoca sesiones locales y solicita logout global Supabase.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Propietario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Revoca contextos de su cuenta, no identidades globales.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ICE24 Admin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9"/>
              </w:rPr>
              <w:t>Puede revocar identidad global y todos los contextos.</w:t>
            </w:r>
          </w:p>
        </w:tc>
      </w:tr>
    </w:tbl>
    <w:p>
      <w:pPr>
        <w:pStyle w:val="Ttulo2"/>
      </w:pPr>
      <w:r>
        <w:t>18.1 Verificación</w:t>
      </w:r>
    </w:p>
    <w:p>
      <w:pPr>
        <w:pStyle w:val="Listaconvietas"/>
      </w:pPr>
      <w:r>
        <w:t>La pertenencia se comprueba antes de actualizar una sesión.</w:t>
      </w:r>
    </w:p>
    <w:p>
      <w:pPr>
        <w:pStyle w:val="Listaconvietas"/>
      </w:pPr>
      <w:r>
        <w:t>La siguiente llamada observa la revocación; no depende de recargar la UI.</w:t>
      </w:r>
    </w:p>
    <w:p>
      <w:pPr>
        <w:pStyle w:val="Listaconvietas"/>
      </w:pPr>
      <w:r>
        <w:t>Cada evento incluye correlation_id y alcance de revocación.</w:t>
      </w:r>
    </w:p>
    <w:p>
      <w:pPr>
        <w:pStyle w:val="Listaconvietas"/>
      </w:pPr>
      <w:r>
        <w:t>La ventana efectiva del access token remoto debe medirse en la PoC.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FFF5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A15C00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A15C00"/>
              </w:rPr>
              <w:t>Gate</w:t>
              <w:br/>
            </w:r>
            <w:r>
              <w:t>La propagación global real permanece pendiente hasta contar con credenciales y proyecto remoto.</w:t>
            </w:r>
          </w:p>
        </w:tc>
      </w:tr>
    </w:tbl>
    <w:p>
      <w:pPr>
        <w:pStyle w:val="Ttulo1"/>
      </w:pPr>
      <w:r>
        <w:t>19. Recuperación manual controlada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903222"/>
            <wp:docPr id="3" name="Picture 3" descr="Flujo de recuperacion manual con caso versionado, dos operadores y revocac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-recove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0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rPr>
          <w:i/>
          <w:color w:val="5E687A"/>
        </w:rPr>
        <w:t>Figura 3. Doble control y separacion de funciones.</w:t>
      </w:r>
    </w:p>
    <w:p>
      <w:pPr>
        <w:pStyle w:val="Ttulo2"/>
      </w:pPr>
      <w:r>
        <w:t>19.1 Invariantes</w:t>
      </w:r>
    </w:p>
    <w:p>
      <w:pPr>
        <w:pStyle w:val="Listaconvietas"/>
      </w:pPr>
      <w:r>
        <w:t>El sujeto no puede aprobar su propio caso.</w:t>
      </w:r>
    </w:p>
    <w:p>
      <w:pPr>
        <w:pStyle w:val="Listaconvietas"/>
      </w:pPr>
      <w:r>
        <w:t>Una aprobación es insuficiente; se requieren dos operadores distintos.</w:t>
      </w:r>
    </w:p>
    <w:p>
      <w:pPr>
        <w:pStyle w:val="Listaconvietas"/>
      </w:pPr>
      <w:r>
        <w:t>La versión esperada evita decisiones sobre estado obsoleto.</w:t>
      </w:r>
    </w:p>
    <w:p>
      <w:pPr>
        <w:pStyle w:val="Listaconvietas"/>
      </w:pPr>
      <w:r>
        <w:t>Se registran referencias de evidencia, no copias sensibles en logs.</w:t>
      </w:r>
    </w:p>
    <w:p>
      <w:pPr>
        <w:pStyle w:val="Listaconvietas"/>
      </w:pPr>
      <w:r>
        <w:t>Tras aprobar: restablecer, revocar sesiones y exigir TOTP de nuevo.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FFF5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A15C00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A15C00"/>
              </w:rPr>
              <w:t>Pendiente humano</w:t>
              <w:br/>
            </w:r>
            <w:r>
              <w:t>Jurídico y Seguridad deben definir evidencia admisible y nombrar operadores antes de usar el flujo.</w:t>
            </w:r>
          </w:p>
        </w:tc>
      </w:tr>
    </w:tbl>
    <w:p>
      <w:pPr>
        <w:pStyle w:val="Ttulo1"/>
      </w:pPr>
      <w:r>
        <w:t>20. Auditoría de seguridad y privacidad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1"/>
        <w:gridCol w:w="6099"/>
      </w:tblGrid>
      <w:tr>
        <w:trPr>
          <w:cantSplit/>
          <w:tblHeader w:val="true"/>
          <w:tblHeader w:val="true"/>
        </w:trPr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Evento</w:t>
            </w:r>
          </w:p>
        </w:tc>
        <w:tc>
          <w:tcPr>
            <w:tcW w:type="dxa" w:w="60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Datos permitidos</w:t>
            </w:r>
          </w:p>
        </w:tc>
      </w:tr>
      <w:tr>
        <w:trPr>
          <w:cantSplit/>
        </w:trPr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LOGIN_SUCCEEDED / FAILED</w:t>
            </w:r>
          </w:p>
        </w:tc>
        <w:tc>
          <w:tcPr>
            <w:tcW w:type="dxa" w:w="60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Resultado, hash de identificador, IP/UA si la política lo permite.</w:t>
            </w:r>
          </w:p>
        </w:tc>
      </w:tr>
      <w:tr>
        <w:trPr>
          <w:cantSplit/>
        </w:trPr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MFA_ENROLLED / FAILED</w:t>
            </w:r>
          </w:p>
        </w:tc>
        <w:tc>
          <w:tcPr>
            <w:tcW w:type="dxa" w:w="60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Sujeto y resultado; nunca semilla ni código.</w:t>
            </w:r>
          </w:p>
        </w:tc>
      </w:tr>
      <w:tr>
        <w:trPr>
          <w:cantSplit/>
        </w:trPr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CONTEXT_ACTIVATED / REVOKED</w:t>
            </w:r>
          </w:p>
        </w:tc>
        <w:tc>
          <w:tcPr>
            <w:tcW w:type="dxa" w:w="60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Usuario, cuenta, contexto y correlación.</w:t>
            </w:r>
          </w:p>
        </w:tc>
      </w:tr>
      <w:tr>
        <w:trPr>
          <w:cantSplit/>
        </w:trPr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SESSION_REVOKED / GLOBAL</w:t>
            </w:r>
          </w:p>
        </w:tc>
        <w:tc>
          <w:tcPr>
            <w:tcW w:type="dxa" w:w="60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Actor, sujeto, alcance y motivo.</w:t>
            </w:r>
          </w:p>
        </w:tc>
      </w:tr>
      <w:tr>
        <w:trPr>
          <w:cantSplit/>
        </w:trPr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RECOVERY_*</w:t>
            </w:r>
          </w:p>
        </w:tc>
        <w:tc>
          <w:tcPr>
            <w:tcW w:type="dxa" w:w="60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Caso, operadores, referencias y resultado.</w:t>
            </w:r>
          </w:p>
        </w:tc>
      </w:tr>
    </w:tbl>
    <w:p>
      <w:pPr>
        <w:pStyle w:val="Ttulo2"/>
      </w:pPr>
      <w:r>
        <w:t>20.1 Redacción</w:t>
      </w:r>
    </w:p>
    <w:p>
      <w:pPr>
        <w:pStyle w:val="Listaconvietas"/>
      </w:pPr>
      <w:r>
        <w:t>Antes de autenticar, el correo se envia como SHA-256 normalizado.</w:t>
      </w:r>
    </w:p>
    <w:p>
      <w:pPr>
        <w:pStyle w:val="Listaconvietas"/>
      </w:pPr>
      <w:r>
        <w:t>No se registran password, refresh token, code_verifier, TOTP ni service role.</w:t>
      </w:r>
    </w:p>
    <w:p>
      <w:pPr>
        <w:pStyle w:val="Listaconvietas"/>
      </w:pPr>
      <w:r>
        <w:t>La tabla es append-only y el canal BFF-API usa un secreto separado.</w:t>
      </w:r>
    </w:p>
    <w:p>
      <w:pPr>
        <w:pStyle w:val="Listaconvietas"/>
      </w:pPr>
      <w:r>
        <w:t>Una caida del canal de auditoría es degradación de seguridad y exige reconciliación.</w:t>
      </w:r>
    </w:p>
    <w:p>
      <w:pPr>
        <w:pStyle w:val="Ttulo1"/>
      </w:pPr>
      <w:r>
        <w:t>21. Experiencia privada de acceso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8"/>
        <w:gridCol w:w="6782"/>
      </w:tblGrid>
      <w:tr>
        <w:trPr>
          <w:cantSplit/>
          <w:tblHeader w:val="true"/>
          <w:tblHeader w:val="true"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Ruta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8"/>
              </w:rPr>
              <w:t>Propósito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/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Login privado, recuperación y acceso OIDC.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/access/first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Cambio inicial de password y continuidad del alta.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/access/mfa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Alta y verificación TOTP.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/access/context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Selector responsive de cuenta activa.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/access/revoked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Estado seguro cuando sesión/contexto dejan de ser validos.</w:t>
            </w:r>
          </w:p>
        </w:tc>
      </w:tr>
      <w:tr>
        <w:trPr>
          <w:cantSplit/>
        </w:trPr>
        <w:tc>
          <w:tcPr>
            <w:tcW w:type="dxa" w:w="23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/profile</w:t>
            </w:r>
          </w:p>
        </w:tc>
        <w:tc>
          <w:tcPr>
            <w:tcW w:type="dxa" w:w="67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8"/>
              </w:rPr>
              <w:t>Perfil, sesiones y acciones de cierre.</w:t>
            </w:r>
          </w:p>
        </w:tc>
      </w:tr>
    </w:tbl>
    <w:p>
      <w:pPr>
        <w:pStyle w:val="Ttulo2"/>
      </w:pPr>
      <w:r>
        <w:t>21.1 Estados de interfaz</w:t>
      </w:r>
    </w:p>
    <w:p>
      <w:pPr>
        <w:pStyle w:val="Listaconvietas"/>
      </w:pPr>
      <w:r>
        <w:t>Carga, vacio, error y permiso insuficiente sin filtrar datos.</w:t>
      </w:r>
    </w:p>
    <w:p>
      <w:pPr>
        <w:pStyle w:val="Listaconvietas"/>
      </w:pPr>
      <w:r>
        <w:t>Teclado, foco visible, alert/status y breakpoints 48/30 rem.</w:t>
      </w:r>
    </w:p>
    <w:p>
      <w:pPr>
        <w:pStyle w:val="Listaconvietas"/>
      </w:pPr>
      <w:r>
        <w:t>Modo lectura se comunica y las acciones bloqueadas no se presentan como exitosas.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FFF5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A15C00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A15C00"/>
              </w:rPr>
              <w:t>Gate de accesibilidad</w:t>
              <w:br/>
            </w:r>
            <w:r>
              <w:t>Build y semántica pasan; la auditoría WCAG 2.2 AA con navegador real sigue pendiente.</w:t>
            </w:r>
          </w:p>
        </w:tc>
      </w:tr>
    </w:tbl>
    <w:p>
      <w:pPr>
        <w:pStyle w:val="Ttulo1"/>
      </w:pPr>
      <w:r>
        <w:t>22. Configuración, secretos y operación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15"/>
        <w:gridCol w:w="5905"/>
      </w:tblGrid>
      <w:tr>
        <w:trPr>
          <w:cantSplit/>
          <w:tblHeader w:val="true"/>
          <w:tblHeader w:val="true"/>
        </w:trPr>
        <w:tc>
          <w:tcPr>
            <w:tcW w:type="dxa" w:w="321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Variable</w:t>
            </w:r>
          </w:p>
        </w:tc>
        <w:tc>
          <w:tcPr>
            <w:tcW w:type="dxa" w:w="59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321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DATABASE_URL</w:t>
            </w:r>
          </w:p>
        </w:tc>
        <w:tc>
          <w:tcPr>
            <w:tcW w:type="dxa" w:w="59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Conexion PostgreSQL solo del servidor.</w:t>
            </w:r>
          </w:p>
        </w:tc>
      </w:tr>
      <w:tr>
        <w:trPr>
          <w:cantSplit/>
        </w:trPr>
        <w:tc>
          <w:tcPr>
            <w:tcW w:type="dxa" w:w="321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SUPABASE_URL / ANON_KEY</w:t>
            </w:r>
          </w:p>
        </w:tc>
        <w:tc>
          <w:tcPr>
            <w:tcW w:type="dxa" w:w="59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Endpoints de Auth; la anon key no es secreto.</w:t>
            </w:r>
          </w:p>
        </w:tc>
      </w:tr>
      <w:tr>
        <w:trPr>
          <w:cantSplit/>
        </w:trPr>
        <w:tc>
          <w:tcPr>
            <w:tcW w:type="dxa" w:w="321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SUPABASE_SERVICE_ROLE_KEY</w:t>
            </w:r>
          </w:p>
        </w:tc>
        <w:tc>
          <w:tcPr>
            <w:tcW w:type="dxa" w:w="59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Administración server-side; nunca navegador.</w:t>
            </w:r>
          </w:p>
        </w:tc>
      </w:tr>
      <w:tr>
        <w:trPr>
          <w:cantSplit/>
        </w:trPr>
        <w:tc>
          <w:tcPr>
            <w:tcW w:type="dxa" w:w="321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OIDC_ISSUER / AUDIENCE / CLIENT_ID</w:t>
            </w:r>
          </w:p>
        </w:tc>
        <w:tc>
          <w:tcPr>
            <w:tcW w:type="dxa" w:w="59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Validación y flujo OIDC allowlisted.</w:t>
            </w:r>
          </w:p>
        </w:tc>
      </w:tr>
      <w:tr>
        <w:trPr>
          <w:cantSplit/>
        </w:trPr>
        <w:tc>
          <w:tcPr>
            <w:tcW w:type="dxa" w:w="321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BFF_SESSION_SECRET</w:t>
            </w:r>
          </w:p>
        </w:tc>
        <w:tc>
          <w:tcPr>
            <w:tcW w:type="dxa" w:w="59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Cifrado de cookie; rotación invalida sesiones.</w:t>
            </w:r>
          </w:p>
        </w:tc>
      </w:tr>
      <w:tr>
        <w:trPr>
          <w:cantSplit/>
        </w:trPr>
        <w:tc>
          <w:tcPr>
            <w:tcW w:type="dxa" w:w="321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BFF_API_SHARED_SECRET</w:t>
            </w:r>
          </w:p>
        </w:tc>
        <w:tc>
          <w:tcPr>
            <w:tcW w:type="dxa" w:w="59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Canal interno de auditoría BFF-API.</w:t>
            </w:r>
          </w:p>
        </w:tc>
      </w:tr>
      <w:tr>
        <w:trPr>
          <w:cantSplit/>
        </w:trPr>
        <w:tc>
          <w:tcPr>
            <w:tcW w:type="dxa" w:w="321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PRIVATE_API_URL / PRIVATE_WEB_URL</w:t>
            </w:r>
          </w:p>
        </w:tc>
        <w:tc>
          <w:tcPr>
            <w:tcW w:type="dxa" w:w="59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Origenes y destinos del BFF.</w:t>
            </w:r>
          </w:p>
        </w:tc>
      </w:tr>
    </w:tbl>
    <w:p>
      <w:pPr>
        <w:pStyle w:val="Ttulo2"/>
      </w:pPr>
      <w:r>
        <w:t>22.1 Reglas operativas</w:t>
      </w:r>
    </w:p>
    <w:p>
      <w:pPr>
        <w:pStyle w:val="Listaconvietas"/>
      </w:pPr>
      <w:r>
        <w:t>Ningún valor real se versiona; los secretos no usan NEXT_PUBLIC_.</w:t>
      </w:r>
    </w:p>
    <w:p>
      <w:pPr>
        <w:pStyle w:val="Listaconvietas"/>
      </w:pPr>
      <w:r>
        <w:t>Las rotaciones se coordinan entre BFF, API y Supabase con verificación posterior.</w:t>
      </w:r>
    </w:p>
    <w:p>
      <w:pPr>
        <w:pStyle w:val="Listaconvietas"/>
      </w:pPr>
      <w:r>
        <w:t>Nunca fijar una llave JWT ni copiar service role a logs o bundles.</w:t>
      </w:r>
    </w:p>
    <w:p>
      <w:pPr>
        <w:pStyle w:val="Ttulo1"/>
      </w:pPr>
      <w:r>
        <w:t>23. Evidencia de validación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41"/>
        <w:gridCol w:w="6879"/>
      </w:tblGrid>
      <w:tr>
        <w:trPr>
          <w:cantSplit/>
          <w:tblHeader w:val="true"/>
          <w:tblHeader w:val="true"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Validación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Resultado al 01/09/2026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pnpm check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Formato, lint, TypeScript, límites, Fase 2/3 y pruebas: pasa.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Pruebas unitarias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11 archivos y 33 pruebas: pasan.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pnpm build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14/14 workspaces: pasan; API y web privada incluidas.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check:identity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Contratos de identidad, sesión, aislamiento, auditoría, UI y docs: pasa.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Autorización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Casos positivos/negativos de cuenta, scope, clase, AAL y modo lectura.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Sesión BFF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Cifrado, confidencialidad, alteracion y expiración cubiertos.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pgTAP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Suite versionada y conectada a CI; no ejecutada aquí sin runtime Docker.</w:t>
            </w:r>
          </w:p>
        </w:tc>
      </w:tr>
    </w:tbl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769AA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769AA"/>
              </w:rPr>
              <w:t>Alcance de la evidencia</w:t>
              <w:br/>
            </w:r>
            <w:r>
              <w:t>No se declaran SMTP, TOTP, OIDC, revocación, E2E multiempresa, pentest ni recuperación humana remotos.</w:t>
            </w:r>
          </w:p>
        </w:tc>
      </w:tr>
    </w:tbl>
    <w:p>
      <w:pPr>
        <w:pStyle w:val="Ttulo1"/>
      </w:pPr>
      <w:r>
        <w:t>24. Estado F3-01 a F3-07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7"/>
        <w:gridCol w:w="3605"/>
        <w:gridCol w:w="4248"/>
      </w:tblGrid>
      <w:tr>
        <w:trPr>
          <w:cantSplit/>
          <w:tblHeader w:val="true"/>
          <w:tblHeader w:val="true"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Tarea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Entrega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Gate operativo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F3-01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Auth, primer acceso y TOTP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PoC Supabase/SMTP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F3-02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Perfil local por subject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Enlace remoto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F3-03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Sesión BFF cifrada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Rotación bajo carga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F3-04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Cuenta y propietario OW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Envio/reconciliación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F3-05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Membresías, roles y scopes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Validación funcional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F3-06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Selector y contexto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E2E con dos cuentas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F3-07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RBAC + ABAC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Matriz futura evolutiva</w:t>
            </w:r>
          </w:p>
        </w:tc>
      </w:tr>
    </w:tbl>
    <w:p>
      <w:pPr>
        <w:pStyle w:val="Ttulo2"/>
      </w:pPr>
      <w:r>
        <w:t>24.1 Evaluación</w:t>
      </w:r>
    </w:p>
    <w:p>
      <w:r>
        <w:t>Las siete tareas estan terminadas como implementación local. Sus gates prueban integración con proveedor, carga, comportamiento humano o dominios todavia no creados; no son faltantes ocultos de código.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769AA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769AA"/>
              </w:rPr>
              <w:t>Criterio</w:t>
              <w:br/>
            </w:r>
            <w:r>
              <w:t>Un gate remoto se cierra con evidencia reproducible y registrada, nunca con una afirmación manual.</w:t>
            </w:r>
          </w:p>
        </w:tc>
      </w:tr>
    </w:tbl>
    <w:p>
      <w:pPr>
        <w:pStyle w:val="Ttulo1"/>
      </w:pPr>
      <w:r>
        <w:t>25. Estado F3-08 a F3-14 y siguiente paso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7"/>
        <w:gridCol w:w="3605"/>
        <w:gridCol w:w="4248"/>
      </w:tblGrid>
      <w:tr>
        <w:trPr>
          <w:cantSplit/>
          <w:tblHeader w:val="true"/>
          <w:tblHeader w:val="true"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Tarea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Entrega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Gate operativo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F3-08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Guards OIDC/políticas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Pentest y JWKS real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F3-09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Revocación individual/global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Propagación remota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F3-10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Recuperación dual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Operadores/evidencia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F3-11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Deep links no filtrantes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E2E con recursos reales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F3-12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Auditoría append-only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Backend/retención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F3-13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Aislamiento multiempresa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pgTAP en Docker/CI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F3-14</w:t>
            </w:r>
          </w:p>
        </w:tc>
        <w:tc>
          <w:tcPr>
            <w:tcW w:type="dxa" w:w="360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UI privada responsive</w:t>
            </w:r>
          </w:p>
        </w:tc>
        <w:tc>
          <w:tcPr>
            <w:tcW w:type="dxa" w:w="42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WCAG/visual manual</w:t>
            </w:r>
          </w:p>
        </w:tc>
      </w:tr>
    </w:tbl>
    <w:p>
      <w:pPr>
        <w:pStyle w:val="Ttulo2"/>
      </w:pPr>
      <w:r>
        <w:t>25.1 Secuencia de cierre</w:t>
      </w:r>
    </w:p>
    <w:p>
      <w:pPr>
        <w:pStyle w:val="Listaconnmeros"/>
        <w:numPr>
          <w:ilvl w:val="0"/>
          <w:numId w:val="20"/>
        </w:numPr>
      </w:pPr>
      <w:r>
        <w:t>Abrir pull request y exigir quality, build y supabase-migrations/pgTAP.</w:t>
      </w:r>
    </w:p>
    <w:p>
      <w:pPr>
        <w:pStyle w:val="Listaconnmeros"/>
        <w:numPr>
          <w:ilvl w:val="0"/>
          <w:numId w:val="20"/>
        </w:numPr>
      </w:pPr>
      <w:r>
        <w:t>Crear PoC no productiva con dos cuentas, SMTP y TOTP reales.</w:t>
      </w:r>
    </w:p>
    <w:p>
      <w:pPr>
        <w:pStyle w:val="Listaconnmeros"/>
        <w:numPr>
          <w:ilvl w:val="0"/>
          <w:numId w:val="20"/>
        </w:numPr>
      </w:pPr>
      <w:r>
        <w:t>Aprobar ADR-017, operadores, evidencia, retención y alertas.</w:t>
      </w:r>
    </w:p>
    <w:p>
      <w:pPr>
        <w:pStyle w:val="Listaconnmeros"/>
        <w:numPr>
          <w:ilvl w:val="0"/>
          <w:numId w:val="20"/>
        </w:numPr>
      </w:pPr>
      <w:r>
        <w:t>Ejecutar E2E, revocación, pentest y auditoría WCAG; conservar evidencia.</w:t>
      </w:r>
    </w:p>
    <w:p>
      <w:pPr>
        <w:pStyle w:val="Listaconnmeros"/>
        <w:numPr>
          <w:ilvl w:val="0"/>
          <w:numId w:val="20"/>
        </w:numPr>
      </w:pPr>
      <w:r>
        <w:t>Promover solo con secretos, runbooks y responsables operativos aprobados.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DF8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6794D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6794D"/>
              </w:rPr>
              <w:t>Criterio de avance</w:t>
              <w:br/>
            </w:r>
            <w:r>
              <w:t>El PR cierra la revisión de implementación. La habilitación productiva requiere cerrar todos los gates humanos y remotos.</w:t>
            </w:r>
          </w:p>
        </w:tc>
      </w:tr>
    </w:tbl>
    <w:p>
      <w:pPr>
        <w:pStyle w:val="Ttulo1"/>
      </w:pPr>
      <w:r>
        <w:t>Anexo A. Trazabilidad de decisiones y fuentes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8"/>
        <w:gridCol w:w="6392"/>
      </w:tblGrid>
      <w:tr>
        <w:trPr>
          <w:cantSplit/>
          <w:tblHeader w:val="true"/>
          <w:tblHeader w:val="true"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Fuente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b/>
                <w:color w:val="04144C"/>
                <w:sz w:val="17"/>
              </w:rPr>
              <w:t>Cobertura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ADR-017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Proveedor de identidad, BFF, MFA, sesiones, revocación y recuperación.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AUTHZ-BASE-v0.1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Nueve roles, acciones, clases de datos y pruebas negativas.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F3-01..F3-04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Auth, perfil, BFF, cuenta e invitación.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F3-05..F3-09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Membresías, contexto, autorización, guards y revocación.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F3-10..F3-14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Recuperación, deep links, auditoría, aislamiento y UI.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Migracion Fase 3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</w:pPr>
            <w:r>
              <w:rPr>
                <w:sz w:val="17"/>
              </w:rPr>
              <w:t>Esquemas identity/authz/audit, RLS, funciones, roles y eventos.</w:t>
            </w:r>
          </w:p>
        </w:tc>
      </w:tr>
    </w:tbl>
    <w:p>
      <w:pPr>
        <w:pStyle w:val="Ttulo2"/>
      </w:pPr>
      <w:r>
        <w:t>Fuentes operativas</w:t>
      </w:r>
    </w:p>
    <w:p>
      <w:pPr>
        <w:pStyle w:val="Listaconvietas"/>
      </w:pPr>
      <w:r>
        <w:t>docs/backlog/phase-3-status.md y docs/tasks/task-f3-*.md</w:t>
      </w:r>
    </w:p>
    <w:p>
      <w:pPr>
        <w:pStyle w:val="Listaconvietas"/>
      </w:pPr>
      <w:r>
        <w:t>docs/modules/identity.md y docs/runbooks/identity-access.md</w:t>
      </w:r>
    </w:p>
    <w:p>
      <w:pPr>
        <w:pStyle w:val="Listaconvietas"/>
      </w:pPr>
      <w:r>
        <w:t>docs/security/identity.md, docs/product/authorization-matrix.md y identity-recovery.md</w:t>
      </w:r>
    </w:p>
    <w:p>
      <w:pPr>
        <w:pStyle w:val="Listaconvietas"/>
      </w:pPr>
      <w:r>
        <w:t>packages/contracts/src/identity.ts y packages/authorization/src/*</w:t>
      </w:r>
    </w:p>
    <w:p>
      <w:pPr>
        <w:pStyle w:val="Listaconvietas"/>
      </w:pPr>
      <w:r>
        <w:t>apps/api/src/{common,modules/identity} y apps/private-web/src/*</w:t>
      </w:r>
    </w:p>
    <w:p>
      <w:pPr>
        <w:pStyle w:val="Listaconvietas"/>
      </w:pPr>
      <w:r>
        <w:t>supabase/migrations/20260829000100_phase3_identity.sql y tests/database/phase3_identity_test.sql</w:t>
      </w:r>
    </w:p>
    <w:tbl>
      <w:tblPr>
        <w:tblStyle w:val="Tablaconcuadrcula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769AA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769AA"/>
              </w:rPr>
              <w:t>Precedencia</w:t>
              <w:br/>
            </w:r>
            <w:r>
              <w:t>Ante una diferencia, prevalece la fuente versionada más especifica y reciente, junto con la decisión aprobada por su responsable.</w:t>
            </w:r>
          </w:p>
        </w:tc>
      </w:tr>
    </w:tbl>
    <w:sectPr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045DF" w14:textId="77777777">
      <w:pPr>
        <w:spacing w:after="0" w:line="240" w:lineRule="auto"/>
      </w:pPr>
      <w:r>
        <w:separator/>
      </w:r>
    </w:p>
  </w:endnote>
  <w:endnote w:type="continuationSeparator" w:id="0">
    <w:p w14:paraId="20635B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ACB92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A78A4" w14:textId="77777777">
    <w:pPr>
      <w:pStyle w:val="Piedepgina"/>
      <w:jc w:val="center"/>
    </w:pPr>
    <w:r>
      <w:rPr>
        <w:color w:val="5E687A"/>
        <w:sz w:val="16"/>
      </w:rPr>
      <w:t xml:space="preserve">Versión 1.0 - 01/09/2026  | 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E8C9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BEF21" w14:textId="77777777">
      <w:pPr>
        <w:spacing w:after="0" w:line="240" w:lineRule="auto"/>
      </w:pPr>
      <w:r>
        <w:separator/>
      </w:r>
    </w:p>
  </w:footnote>
  <w:footnote w:type="continuationSeparator" w:id="0">
    <w:p w14:paraId="124D856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3760D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EB9E4" w14:textId="77777777">
    <w:pPr>
      <w:pStyle w:val="Encabezado"/>
      <w:jc w:val="right"/>
    </w:pPr>
    <w:r>
      <w:rPr>
        <w:rFonts w:ascii="Calibri" w:hAnsi="Calibri"/>
        <w:color w:val="5E687A"/>
        <w:sz w:val="16"/>
      </w:rPr>
      <w:t>ICE24 OS  |  Fase 3 - Identidad, multiempresa y autorización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E4C94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263602">
    <w:abstractNumId w:val="8"/>
  </w:num>
  <w:num w:numId="2" w16cid:durableId="972447673">
    <w:abstractNumId w:val="6"/>
  </w:num>
  <w:num w:numId="3" w16cid:durableId="1114907691">
    <w:abstractNumId w:val="5"/>
  </w:num>
  <w:num w:numId="4" w16cid:durableId="749813450">
    <w:abstractNumId w:val="4"/>
  </w:num>
  <w:num w:numId="5" w16cid:durableId="1207186001">
    <w:abstractNumId w:val="7"/>
  </w:num>
  <w:num w:numId="6" w16cid:durableId="978730731">
    <w:abstractNumId w:val="3"/>
  </w:num>
  <w:num w:numId="7" w16cid:durableId="1291664693">
    <w:abstractNumId w:val="2"/>
  </w:num>
  <w:num w:numId="8" w16cid:durableId="1866362418">
    <w:abstractNumId w:val="1"/>
  </w:num>
  <w:num w:numId="9" w16cid:durableId="1369985958">
    <w:abstractNumId w:val="0"/>
  </w:num>
  <w:num w:numId="10" w16cid:durableId="419759647">
    <w:abstractNumId w:val="7"/>
    <w:lvlOverride w:ilvl="0">
      <w:startOverride w:val="1"/>
    </w:lvlOverride>
  </w:num>
  <w:num w:numId="11" w16cid:durableId="2138064414">
    <w:abstractNumId w:val="7"/>
    <w:lvlOverride w:ilvl="0">
      <w:startOverride w:val="1"/>
    </w:lvlOverride>
  </w:num>
  <w:num w:numId="12" w16cid:durableId="1244951614">
    <w:abstractNumId w:val="7"/>
    <w:lvlOverride w:ilvl="0">
      <w:startOverride w:val="1"/>
    </w:lvlOverride>
  </w:num>
  <w:num w:numId="13" w16cid:durableId="296379749">
    <w:abstractNumId w:val="7"/>
    <w:lvlOverride w:ilvl="0">
      <w:startOverride w:val="1"/>
    </w:lvlOverride>
  </w:num>
  <w:num w:numId="14" w16cid:durableId="1898004331">
    <w:abstractNumId w:val="7"/>
    <w:lvlOverride w:ilvl="0">
      <w:startOverride w:val="1"/>
    </w:lvlOverride>
  </w:num>
  <w:num w:numId="15" w16cid:durableId="1096440672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6E"/>
    <w:rsid w:val="00034616"/>
    <w:rsid w:val="0006063C"/>
    <w:rsid w:val="0015074B"/>
    <w:rsid w:val="0029639D"/>
    <w:rsid w:val="00326F90"/>
    <w:rsid w:val="00511FC8"/>
    <w:rsid w:val="00592689"/>
    <w:rsid w:val="00695DC3"/>
    <w:rsid w:val="00946501"/>
    <w:rsid w:val="00AA1D8D"/>
    <w:rsid w:val="00B47730"/>
    <w:rsid w:val="00CB0664"/>
    <w:rsid w:val="00FA3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ADB3A"/>
  <w14:defaultImageDpi w14:val="300"/>
  <w15:docId w15:val="{F86E9579-8C98-44B7-90DA-B7A0D208088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33"/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ageBreakBefore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455C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455C4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4144C"/>
      <w:spacing w:val="5"/>
      <w:kern w:val="28"/>
      <w:sz w:val="6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240" w:before="0"/>
    </w:pPr>
    <w:rPr>
      <w:rFonts w:asciiTheme="majorHAnsi" w:eastAsiaTheme="majorEastAsia" w:hAnsiTheme="majorHAnsi" w:cstheme="majorBidi" w:ascii="Calibri" w:hAnsi="Calibri"/>
      <w:b w:val="0"/>
      <w:i/>
      <w:iCs/>
      <w:color w:val="0455C4"/>
      <w:spacing w:val="15"/>
      <w:sz w:val="3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after="160" w:line="240" w:lineRule="auto"/>
    </w:pPr>
    <w:rPr>
      <w:rFonts w:ascii="Calibri" w:hAnsi="Calibri"/>
      <w:b/>
      <w:bCs/>
      <w:color w:val="5B6573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2469</Words>
  <Characters>15843</Characters>
  <Application>Microsoft Office Word</Application>
  <DocSecurity>0</DocSecurity>
  <Lines>524</Lines>
  <Paragraphs>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ICE24 OS - Documentacion de Fase 3</dc:title>
  <dc:subject>Identidad, autenticacion, multiempresa y autorizacion</dc:subject>
  <dc:creator>Equipo ICE24 OS</dc:creator>
  <cp:keywords>ICE24 OS, Fase 3, identidad, OIDC, PKCE, MFA, RBAC, ABAC, Supabase</cp:keywords>
  <dc:description>Sintesis de la implementacion versionada y sus gates operativos.</dc:description>
  <cp:lastModifiedBy/>
  <cp:revision>3</cp:revision>
  <dcterms:created xsi:type="dcterms:W3CDTF">2013-12-23T23:15:00Z</dcterms:created>
  <dcterms:modified xsi:type="dcterms:W3CDTF">2026-08-29T23:10:00Z</dcterms:modified>
  <cp:category/>
</cp:coreProperties>
</file>