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validación del Quality Gate de Fase 4</w:t>
      </w:r>
    </w:p>
    <w:p>
      <w:r>
        <w:t>ICE24 OS • 23 de septiembre de 2026</w:t>
      </w:r>
    </w:p>
    <w:p>
      <w:r>
        <w:t>100% Cumplido / Apto para despliegue / Habilitado Fase 5</w:t>
      </w:r>
    </w:p>
    <w:p>
      <w:r>
        <w:t>Veredicto declarado por el responsable del proyecto el 23/09/2026. Esta edición registra su confirmación de cierre; no constituye certificación independiente de los controles no inspeccionados. La ratificación formal del Sponsor y las firmas permanecen pendientes.</w:t>
      </w:r>
    </w:p>
    <w:p>
      <w:r>
        <w:t>Se conserva el significado de F4-01 a F4-17 en context/TASKS.md. Responsable: Calixto Isaac Galeana Medrano, Tech Lead / QA / SecOps. Su declaración complementa el CI; el respaldo no prueba transferencias, paneles o accesibilidad. SHA: 4211d6e26b0fcc27feed4edd0bb3e89cb727b502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608"/>
        <w:gridCol w:w="1944"/>
        <w:gridCol w:w="4032"/>
        <w:gridCol w:w="3312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Descripción del criterio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Estado registrado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Evidencia y alcance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Responsable y fecha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F4-01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Cuenta titular administrable con contacto, datos fiscales y módulos; validar versión y aislamiento.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I12; accounts.store.ts;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F4-02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Sucursales con ubicación, zona, horario y teléfonos; CRUD autorizado y archivo histórico.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I02, I07, I15; accounts.store.ts;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F4-03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Invitar o asociar usuarios sin duplicar identidad; roles, alcances y denegaciones efectivos.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I08, I13; members.store.ts;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F4-04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Catálogo central de fabricantes, modelos, sistemas, componentes y características con acceso restringido.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I03; templates.store.ts; contracts/equipment.ts;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F4-05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Versiones declarativas publicables e inmutables después de publicación.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I03, I06; template_versions;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F4-06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Definición validable de actividades, frecuencias, checklist, evidencia y escalamiento antes de publicar.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I03, I06; templateInputSchema;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F4-07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Captura progresiva de borrador con documentos y fotos; impedir envío incompleto o evidencia no limpia.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I04; requests.store.ts; files.store.ts;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F4-08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Envío, revisión, información, aprobación y rechazo; activación condicionada a plantilla y validación.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I04, I05; requests.store.ts;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F4-09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Código permanente único y verificable; folios definidos y protección de identidad de máquina.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I05, I09; identifiers.test.ts; next_folio;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</w:tbl>
    <w:p>
      <w:r>
        <w:br w:type="page"/>
      </w:r>
    </w:p>
    <w:p>
      <w:pPr>
        <w:pStyle w:val="Heading1"/>
      </w:pPr>
      <w:r>
        <w:t>Continuación de la matriz de criterios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608"/>
        <w:gridCol w:w="1944"/>
        <w:gridCol w:w="4032"/>
        <w:gridCol w:w="3312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Descripción del criterio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Estado registrado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Evidencia y alcance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Responsable y fecha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F4-10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Expediente integral con estados operativo, técnico, sanitario y publicación separados.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I05, I09, I10; machines.store.ts;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F4-11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Periodos de propiedad, ubicación y plantilla sin solapamientos y con historia conservada.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I07, I09; machine_periods y exclusión GiST;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F4-12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Traslado, retiro y transferencia autorizados y auditados; historia técnica y opción comercial documentada.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I07, I09, I10; cierre declarado. Sin nuevo reporte específico del caso comercial opcional.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F4-13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Calendarios iniciales vinculados a versión de plantilla y generación sin duplicados.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I05, I06; scheduling.ts;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F4-14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Nueva plantilla aplicada al trabajo futuro conservando definición histórica.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I06; scheduled_activities;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F4-15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Paneles centrales de cuentas, validaciones y plantillas con autorización administrativa.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I03, I14; cierre declarado. Sin nuevo reporte de aceptación visual de paneles centrales.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F4-16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Pantallas según UI/UX y AppFlow con estados, responsive, teclado y objetivo WCAG aplicable.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I15; cierre declarado. Sin nueva matriz integral UI/UX o informe de accesibilidad.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F4-17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Suite de transferencias, contexto, concurrencia, integridad y auditoría con resultados trazables.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Cumplido declarado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I07 a I11, I14, I15; registro de 15 integraciones; confirmación de cierre del responsable.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C. I. Galeana Medrano</w:t>
              <w:br/>
              <w:t>23/09/2026</w:t>
            </w:r>
          </w:p>
        </w:tc>
      </w:tr>
    </w:tbl>
    <w:p>
      <w:pPr>
        <w:pStyle w:val="Heading1"/>
      </w:pPr>
      <w:r>
        <w:t>Base del cierre declarado</w:t>
      </w:r>
    </w:p>
    <w:p>
      <w:r>
        <w:t>Se registra 17 de 17 criterios cumplidos por declaración de cierre, no 17 verificaciones independientes nuevas. Para F4-12, F4-15 y F4-16, el cambio de estado responde a la instrucción expresa del responsable. La evidencia técnica específica adicional no fue adjuntada; sus límites quedan visibles en la tabla. Sponsor: Eduardo, Tutor de Proyecto; firma de ratificación en el acta.</w:t>
      </w:r>
    </w:p>
    <w:p>
      <w:r>
        <w:br w:type="page"/>
      </w:r>
    </w:p>
    <w:p>
      <w:pPr>
        <w:pStyle w:val="Heading1"/>
      </w:pPr>
      <w:r>
        <w:t>Pruebas y trazabilidad del expediente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0080"/>
        <w:gridCol w:w="360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Prueba de integración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BE7EF"/>
          </w:tcPr>
          <w:p>
            <w:pPr>
              <w:spacing w:after="40"/>
            </w:pPr>
            <w:r>
              <w:rPr>
                <w:b/>
                <w:sz w:val="18"/>
              </w:rPr>
              <w:t>Resultado CI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I01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PostgreSQL efímero y PostGIS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I02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Sucursales, aislamiento y lector sin escritura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I03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MFA administrativo y publicación inmutable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I04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Borradores y evidencia no validada bloqueados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I05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Información faltante, reenvío y aprobación atómica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I06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Calendarios sin duplicación e historia al sustituir plantilla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I07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Concurrencia, traslado ajeno y periodos solapados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I08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Solo lectura y suspensión de membresía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I09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Transferencia atómica y conservación de historia técnica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I10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Retiro sin borrado y auditoría append-only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I11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RLS y esquema inaccesible al navegador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I12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Datos de cuenta con versión y aislamiento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I13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Identidad existente y permisos en sesión activa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I14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HTTP autenticado con validación y aislamiento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I15</w:t>
            </w:r>
          </w:p>
        </w:tc>
        <w:tc>
          <w:tcPr>
            <w:tcW w:type="dxa" w:w="10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Chromium, CSRF, contexto, responsive y solo lectura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Aprobado</w:t>
            </w:r>
          </w:p>
        </w:tc>
      </w:tr>
    </w:tbl>
    <w:p>
      <w:r>
        <w:t>CI inspeccionado: 15 integraciones con Chromium habilitado y 41 pruebas SQL adicionales. Son dos suites distintas; no se contabilizan como 41 pruebas totales. El responsable declara éxito contra la versión desplegada; los logs de CI conservados corresponden a entornos de prueba y no demuestran por sí mismos ejecución contra la URL pública.</w:t>
      </w:r>
    </w:p>
    <w:p>
      <w:r>
        <w:t>CI: https://github.com/ice24vending/ICE24OS/actions/runs/35674648218</w:t>
        <w:br/>
        <w:t>Infraestructura: https://github.com/ice24vending/ICE24OS/actions/runs/35674648213</w:t>
      </w:r>
    </w:p>
    <w:p>
      <w:r>
        <w:t>Artifacts: docs/qa/phase-4/evidence/20260922-ci.json; extractos de jobs 106578458658 y 106580599477; 20260923-vercel-verification.md; 20260923-declaracion-cierre.md. Backup y RPO/RTO se documentan en el informe de ambiente, separados de los criterios funcionales.</w:t>
      </w:r>
    </w:p>
    <w:sectPr w:rsidR="00FC693F" w:rsidRPr="0006063C" w:rsidSect="00034616">
      <w:footerReference w:type="default" r:id="rId9"/>
      <w:pgSz w:w="16848" w:h="11952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ICE24 OS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ICE24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