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b/>
          <w:color w:val="04144C"/>
          <w:sz w:val="60"/>
        </w:rPr>
        <w:t>ICE24</w:t>
      </w:r>
      <w:r>
        <w:rPr>
          <w:b/>
          <w:color w:val="0455C4"/>
          <w:sz w:val="34"/>
        </w:rPr>
        <w:t xml:space="preserve"> OS</w:t>
      </w:r>
    </w:p>
    <w:p>
      <w:pPr>
        <w:pStyle w:val="Title"/>
      </w:pPr>
      <w:r>
        <w:t>Documentación actual</w:t>
        <w:br/>
        <w:t>del proyecto</w:t>
      </w:r>
    </w:p>
    <w:p>
      <w:pPr>
        <w:pStyle w:val="Subtitle"/>
      </w:pPr>
      <w:r>
        <w:t>Estado funcional y técnico · definición del MVP-1 · visión de la primera versión</w:t>
      </w:r>
    </w:p>
    <w:p/>
    <w:p>
      <w:pPr>
        <w:spacing w:after="480"/>
        <w:pBdr>
          <w:bottom w:val="single" w:sz="20" w:color="9CD5EF"/>
        </w:pBdr>
      </w:pPr>
    </w:p>
    <w:p>
      <w:r>
        <w:rPr>
          <w:b/>
        </w:rPr>
        <w:t>Versión documental</w:t>
        <w:br/>
      </w:r>
      <w:r>
        <w:t>1.0 — línea base posterior al avance de Fase 0</w:t>
        <w:br/>
        <w:br/>
      </w:r>
      <w:r>
        <w:rPr>
          <w:b/>
        </w:rPr>
        <w:t>Fecha de corte</w:t>
        <w:br/>
      </w:r>
      <w:r>
        <w:t>18 de agosto de 2026</w:t>
        <w:br/>
        <w:br/>
      </w:r>
      <w:r>
        <w:rPr>
          <w:b/>
        </w:rPr>
        <w:t>Estado</w:t>
        <w:br/>
      </w:r>
      <w:r>
        <w:t>Borrador consolidado para revisión y aprobación</w:t>
        <w:br/>
        <w:br/>
      </w:r>
      <w:r>
        <w:rPr>
          <w:b/>
        </w:rPr>
        <w:t>Plataforma objetivo</w:t>
        <w:br/>
      </w:r>
      <w:r>
        <w:t>Aplicación web progresiva desplegada en Google Cloud, región México</w:t>
      </w:r>
    </w:p>
    <w:p/>
    <w:p>
      <w:r>
        <w:rPr>
          <w:i/>
          <w:color w:val="5E687A"/>
        </w:rPr>
        <w:t>Documento confidencial de trabajo · ICE24</w:t>
      </w:r>
    </w:p>
    <w:p>
      <w:pPr>
        <w:pStyle w:val="Heading1"/>
      </w:pPr>
      <w:r>
        <w:t>Control del documento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4"/>
        <w:gridCol w:w="7366"/>
      </w:tblGrid>
      <w:tr>
        <w:trPr>
          <w:cantSplit/>
          <w:tblHeader w:val="true"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Campo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Valor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Propósito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Consolidar el estado actual del proyecto y servir como referencia para Fase 1.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Fuentes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context/*.md y docs/*.md del repositorio ICE24OS.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Audiencia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Dirección, Producto, Ingeniería, Seguridad, Operación, Sanidad y Jurídico.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Alcance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Decisiones vigentes, requisitos base, MVP-1, arquitectura, riesgos y ruta inmediata.</w:t>
            </w:r>
          </w:p>
        </w:tc>
      </w:tr>
      <w:tr>
        <w:trPr>
          <w:cantSplit/>
        </w:trPr>
        <w:tc>
          <w:tcPr>
            <w:tcW w:type="dxa" w:w="175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sustituye</w:t>
            </w:r>
          </w:p>
        </w:tc>
        <w:tc>
          <w:tcPr>
            <w:tcW w:type="dxa" w:w="7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Aprobaciones de presupuesto, privacidad, sanidad, contratos ni validación con usuarios.</w:t>
            </w:r>
          </w:p>
        </w:tc>
      </w:tr>
    </w:tbl>
    <w:p>
      <w:pPr>
        <w:pStyle w:val="Heading1"/>
      </w:pPr>
      <w:r>
        <w:t>Resumen ejecutivo</w:t>
      </w:r>
    </w:p>
    <w:p>
      <w:r>
        <w:t>ICE24 OS se encuentra en una fase de definición avanzada: la documentación funcional y técnica ya permite iniciar el monorepo, desplegar una primera URL de desarrollo y construir una rebanada vertical de mantenimiento sin utilizar datos productivos.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Decisión principal</w:t>
              <w:br/>
            </w:r>
            <w:r>
              <w:t>La primera entrega real será el MVP-1: una PWA privada para una cuenta piloto que permite gestionar sucursales y máquinas, crear y asignar órdenes de mantenimiento, ejecutar checklists con fotografías incluso con conectividad intermitente, sincronizar, revisar historial y conservar auditoría.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6"/>
        <w:gridCol w:w="7074"/>
      </w:tblGrid>
      <w:tr>
        <w:trPr>
          <w:cantSplit/>
          <w:tblHeader w:val="true"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Dimensión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Línea base actual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Nube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Google Cloud · northamerica-south1 (México)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Aplicación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PWA responsive · Next.js + NestJS · TypeScript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SQL PostgreSQL/PostGIS + Cloud Storage privado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 · OIDC Authorization Code + PKCE · patrón BFF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Capacidad piloto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 cuenta · hasta 5 sucursales · 25 máquinas · 20 usuarios (supuesto)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Costo objetivo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USD 100–300/mes; tope provisional de control: USD 400 producción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99.5% mensual para PWA+BFF y API privada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Continuidad</w:t>
            </w:r>
          </w:p>
        </w:tc>
        <w:tc>
          <w:tcPr>
            <w:tcW w:type="dxa" w:w="707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RPO 15 min · RTO 4 h para datos transaccionales</w:t>
            </w:r>
          </w:p>
        </w:tc>
      </w:tr>
    </w:tbl>
    <w:p>
      <w:pPr>
        <w:pStyle w:val="Heading1"/>
      </w:pPr>
      <w:r>
        <w:t>Contenido</w:t>
      </w:r>
    </w:p>
    <w:p>
      <w:pPr>
        <w:pStyle w:val="ListNumber"/>
        <w:numPr>
          <w:ilvl w:val="0"/>
          <w:numId w:val="10"/>
        </w:numPr>
      </w:pPr>
      <w:r>
        <w:t>Visión, problema y objetivos</w:t>
      </w:r>
    </w:p>
    <w:p>
      <w:pPr>
        <w:pStyle w:val="ListNumber"/>
        <w:numPr>
          <w:ilvl w:val="0"/>
          <w:numId w:val="10"/>
        </w:numPr>
      </w:pPr>
      <w:r>
        <w:t>Estado actual del proyecto</w:t>
      </w:r>
    </w:p>
    <w:p>
      <w:pPr>
        <w:pStyle w:val="ListNumber"/>
        <w:numPr>
          <w:ilvl w:val="0"/>
          <w:numId w:val="10"/>
        </w:numPr>
      </w:pPr>
      <w:r>
        <w:t>Usuarios, roles y autorización</w:t>
      </w:r>
    </w:p>
    <w:p>
      <w:pPr>
        <w:pStyle w:val="ListNumber"/>
        <w:numPr>
          <w:ilvl w:val="0"/>
          <w:numId w:val="10"/>
        </w:numPr>
      </w:pPr>
      <w:r>
        <w:t>Alcance funcional y releases</w:t>
      </w:r>
    </w:p>
    <w:p>
      <w:pPr>
        <w:pStyle w:val="ListNumber"/>
        <w:numPr>
          <w:ilvl w:val="0"/>
          <w:numId w:val="10"/>
        </w:numPr>
      </w:pPr>
      <w:r>
        <w:t>MVP-1: definición de la primera versión</w:t>
      </w:r>
    </w:p>
    <w:p>
      <w:pPr>
        <w:pStyle w:val="ListNumber"/>
        <w:numPr>
          <w:ilvl w:val="0"/>
          <w:numId w:val="10"/>
        </w:numPr>
      </w:pPr>
      <w:r>
        <w:t>Así se verá la primera versión</w:t>
      </w:r>
    </w:p>
    <w:p>
      <w:pPr>
        <w:pStyle w:val="ListNumber"/>
        <w:numPr>
          <w:ilvl w:val="0"/>
          <w:numId w:val="10"/>
        </w:numPr>
      </w:pPr>
      <w:r>
        <w:t>Escenario operativo de punta a punta</w:t>
      </w:r>
    </w:p>
    <w:p>
      <w:pPr>
        <w:pStyle w:val="ListNumber"/>
        <w:numPr>
          <w:ilvl w:val="0"/>
          <w:numId w:val="10"/>
        </w:numPr>
      </w:pPr>
      <w:r>
        <w:t>Arquitectura de solución en Google Cloud</w:t>
      </w:r>
    </w:p>
    <w:p>
      <w:pPr>
        <w:pStyle w:val="ListNumber"/>
        <w:numPr>
          <w:ilvl w:val="0"/>
          <w:numId w:val="10"/>
        </w:numPr>
      </w:pPr>
      <w:r>
        <w:t>Stack y estructura técnica</w:t>
      </w:r>
    </w:p>
    <w:p>
      <w:pPr>
        <w:pStyle w:val="ListNumber"/>
        <w:numPr>
          <w:ilvl w:val="0"/>
          <w:numId w:val="10"/>
        </w:numPr>
      </w:pPr>
      <w:r>
        <w:t>Datos, seguridad e identidad</w:t>
      </w:r>
    </w:p>
    <w:p>
      <w:pPr>
        <w:pStyle w:val="ListNumber"/>
        <w:numPr>
          <w:ilvl w:val="0"/>
          <w:numId w:val="10"/>
        </w:numPr>
      </w:pPr>
      <w:r>
        <w:t>Offline, archivos, observabilidad y continuidad</w:t>
      </w:r>
    </w:p>
    <w:p>
      <w:pPr>
        <w:pStyle w:val="ListNumber"/>
        <w:numPr>
          <w:ilvl w:val="0"/>
          <w:numId w:val="10"/>
        </w:numPr>
      </w:pPr>
      <w:r>
        <w:t>Entornos, costos y despliegue</w:t>
      </w:r>
    </w:p>
    <w:p>
      <w:pPr>
        <w:pStyle w:val="ListNumber"/>
        <w:numPr>
          <w:ilvl w:val="0"/>
          <w:numId w:val="10"/>
        </w:numPr>
      </w:pPr>
      <w:r>
        <w:t>Calidad y criterios de aceptación</w:t>
      </w:r>
    </w:p>
    <w:p>
      <w:pPr>
        <w:pStyle w:val="ListNumber"/>
        <w:numPr>
          <w:ilvl w:val="0"/>
          <w:numId w:val="10"/>
        </w:numPr>
      </w:pPr>
      <w:r>
        <w:t>Estado de Fase 0 y gates</w:t>
      </w:r>
    </w:p>
    <w:p>
      <w:pPr>
        <w:pStyle w:val="ListNumber"/>
        <w:numPr>
          <w:ilvl w:val="0"/>
          <w:numId w:val="10"/>
        </w:numPr>
      </w:pPr>
      <w:r>
        <w:t>Riesgos, bloqueos y decisiones abiertas</w:t>
      </w:r>
    </w:p>
    <w:p>
      <w:pPr>
        <w:pStyle w:val="ListNumber"/>
        <w:numPr>
          <w:ilvl w:val="0"/>
          <w:numId w:val="10"/>
        </w:numPr>
      </w:pPr>
      <w:r>
        <w:t>Ruta recomendada</w:t>
      </w:r>
    </w:p>
    <w:p>
      <w:pPr>
        <w:pStyle w:val="ListNumber"/>
        <w:numPr>
          <w:ilvl w:val="0"/>
          <w:numId w:val="10"/>
        </w:numPr>
      </w:pPr>
      <w:r>
        <w:t>Anexos: decisiones y documentos fuente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EF6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769AA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769AA"/>
              </w:rPr>
              <w:t>Cómo leer este documento</w:t>
              <w:br/>
            </w:r>
            <w:r>
              <w:t>Los elementos marcados como línea base o aceptados habilitan construcción. Los elementos en revisión requieren aprobación. Los bloqueos externos impiden activar funciones específicas, pero no detienen el esqueleto web ni el flujo piloto de mantenimiento.</w:t>
            </w:r>
          </w:p>
        </w:tc>
      </w:tr>
    </w:tbl>
    <w:p>
      <w:pPr>
        <w:pStyle w:val="Heading1"/>
      </w:pPr>
      <w:r>
        <w:t>1. Visión, problema y objetivos</w:t>
      </w:r>
    </w:p>
    <w:p>
      <w:pPr>
        <w:pStyle w:val="Heading2"/>
      </w:pPr>
      <w:r>
        <w:t>1.1 Visión</w:t>
      </w:r>
    </w:p>
    <w:p>
      <w:r>
        <w:t>ICE24 OS será la plataforma web de operación y trazabilidad para administrar cuentas, sucursales, máquinas, mantenimiento, evidencias, cumplimiento y, en releases posteriores, inventario, ventas, pedidos y publicación técnica/sanitaria.</w:t>
      </w:r>
    </w:p>
    <w:p>
      <w:pPr>
        <w:pStyle w:val="Heading2"/>
      </w:pPr>
      <w:r>
        <w:t>1.2 Problema que resuelve</w:t>
      </w:r>
    </w:p>
    <w:p>
      <w:pPr>
        <w:pStyle w:val="ListBullet"/>
      </w:pPr>
      <w:r>
        <w:t>Información operativa dispersa entre hojas, mensajes, fotografías y archivos sin historial consistente.</w:t>
      </w:r>
    </w:p>
    <w:p>
      <w:pPr>
        <w:pStyle w:val="ListBullet"/>
      </w:pPr>
      <w:r>
        <w:t>Dificultad para conocer qué máquina requiere atención, quién es responsable y qué evidencia existe.</w:t>
      </w:r>
    </w:p>
    <w:p>
      <w:pPr>
        <w:pStyle w:val="ListBullet"/>
      </w:pPr>
      <w:r>
        <w:t>Riesgo de mezclar información entre empresas, sucursales o perfiles con distintos privilegios.</w:t>
      </w:r>
    </w:p>
    <w:p>
      <w:pPr>
        <w:pStyle w:val="ListBullet"/>
      </w:pPr>
      <w:r>
        <w:t>Conectividad variable en campo y necesidad de conservar avance sin duplicar operaciones.</w:t>
      </w:r>
    </w:p>
    <w:p>
      <w:pPr>
        <w:pStyle w:val="ListBullet"/>
      </w:pPr>
      <w:r>
        <w:t>Necesidad de publicación deliberada y separada de información privada, técnica o sanitaria.</w:t>
      </w:r>
    </w:p>
    <w:p>
      <w:pPr>
        <w:pStyle w:val="Heading2"/>
      </w:pPr>
      <w:r>
        <w:t>1.3 Objetivos del primer ciclo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1"/>
        <w:gridCol w:w="6489"/>
      </w:tblGrid>
      <w:tr>
        <w:trPr>
          <w:cantSplit/>
          <w:tblHeader w:val="true"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Resultado observable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 web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Entorno de desarrollo accesible por URL desde Fase 1.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Flujo completo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 de mantenimiento creada, ejecutada, sincronizada y auditada.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Seguridad por diseño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Separación por cuenta, autorización de servidor y mínimo privilegio.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Aprendizaje del piloto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Medir adopción, cumplimiento, sincronización e incidentes durante 60 días.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Base extensible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Monolito modular y contratos estables para agregar dominios sin rehacer la plataforma.</w:t>
            </w:r>
          </w:p>
        </w:tc>
      </w:tr>
    </w:tbl>
    <w:p>
      <w:pPr>
        <w:pStyle w:val="Heading2"/>
      </w:pPr>
      <w:r>
        <w:t>1.4 Principios</w:t>
      </w:r>
    </w:p>
    <w:p>
      <w:pPr>
        <w:pStyle w:val="ListBullet"/>
      </w:pPr>
      <w:r>
        <w:t>Denegación por defecto; separación estricta entre identidad, cuenta, ámbito y acción.</w:t>
      </w:r>
    </w:p>
    <w:p>
      <w:pPr>
        <w:pStyle w:val="ListBullet"/>
      </w:pPr>
      <w:r>
        <w:t>El servidor autoriza; ocultar la interfaz no concede ni revoca permisos.</w:t>
      </w:r>
    </w:p>
    <w:p>
      <w:pPr>
        <w:pStyle w:val="ListBullet"/>
      </w:pPr>
      <w:r>
        <w:t>Una rebanada vertical útil antes de ampliar dominios.</w:t>
      </w:r>
    </w:p>
    <w:p>
      <w:pPr>
        <w:pStyle w:val="ListBullet"/>
      </w:pPr>
      <w:r>
        <w:t>Infraestructura reproducible, imágenes inmutables y secretos fuera del repositorio.</w:t>
      </w:r>
    </w:p>
    <w:p>
      <w:pPr>
        <w:pStyle w:val="ListBullet"/>
      </w:pPr>
      <w:r>
        <w:t>Operación offline explícita, auditable e idempotente.</w:t>
      </w:r>
    </w:p>
    <w:p>
      <w:pPr>
        <w:pStyle w:val="ListBullet"/>
      </w:pPr>
      <w:r>
        <w:t>No publicar/eliminar información regulada sin aprobación y trazabilidad.</w:t>
      </w:r>
    </w:p>
    <w:p>
      <w:pPr>
        <w:pStyle w:val="Heading1"/>
      </w:pPr>
      <w:r>
        <w:t>2. Estado actual del proyecto</w:t>
      </w:r>
    </w:p>
    <w:p>
      <w:r>
        <w:t>La Fase 0 cuenta con entregables documentales para gobierno, producto, plataforma, stack, identidad, autorización, continuidad, integraciones, soporte, incidentes y backlog. El proyecto todavía no es una aplicación desplegada: la siguiente fase crea el monorepo, los servicios base y el primer entorno web.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46"/>
        <w:gridCol w:w="1851"/>
        <w:gridCol w:w="5223"/>
      </w:tblGrid>
      <w:tr>
        <w:trPr>
          <w:cantSplit/>
          <w:tblHeader w:val="true"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Área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Qué existe hoy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Producto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MVP-1 definido, métricas de éxito y alcance excluido.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Arquitectura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Línea base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Google Cloud México, Cloud Run, Cloud SQL, Storage y mensajería.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Node 24 LTS, Next.js, NestJS, Vitest, Playwright y Terraform.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Keycloak, BFF, sesiones, 2FA y recuperación propuestos.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 roles base, RBAC+ABAC y pruebas negativas obligatorias.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Continuidad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SLO, RPO/RTO, retención y pruebas de restauración.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Backlog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Documentado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Épicas trazables y orden inicial de releases.</w:t>
            </w:r>
          </w:p>
        </w:tc>
      </w:tr>
      <w:tr>
        <w:trPr>
          <w:cantSplit/>
        </w:trPr>
        <w:tc>
          <w:tcPr>
            <w:tcW w:type="dxa" w:w="204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Implementación</w:t>
            </w:r>
          </w:p>
        </w:tc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Pendiente Fase 1</w:t>
            </w:r>
          </w:p>
        </w:tc>
        <w:tc>
          <w:tcPr>
            <w:tcW w:type="dxa" w:w="52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hay todavía código de aplicación ni infraestructura aprovisionada.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Gate habilitado</w:t>
              <w:br/>
            </w:r>
            <w:r>
              <w:t>Puede iniciarse Fase 1 y desplegarse un esqueleto con datos sintéticos. No se autoriza todavía cargar datos reales, publicar contenido sanitario o activar importaciones Excel.</w:t>
            </w:r>
          </w:p>
        </w:tc>
      </w:tr>
    </w:tbl>
    <w:p>
      <w:pPr>
        <w:pStyle w:val="Heading2"/>
      </w:pPr>
      <w:r>
        <w:t>2.1 Madurez de las decisiones</w:t>
      </w:r>
    </w:p>
    <w:p>
      <w:pPr>
        <w:pStyle w:val="ListBullet"/>
      </w:pPr>
      <w:r>
        <w:t>Aceptado para construcción: stack técnico y Vitest.</w:t>
      </w:r>
    </w:p>
    <w:p>
      <w:pPr>
        <w:pStyle w:val="ListBullet"/>
      </w:pPr>
      <w:r>
        <w:t>Línea base pendiente de aprobación presupuestal/privacidad: plataforma Google Cloud.</w:t>
      </w:r>
    </w:p>
    <w:p>
      <w:pPr>
        <w:pStyle w:val="ListBullet"/>
      </w:pPr>
      <w:r>
        <w:t>En revisión funcional u operativa: MVP, RACI, identidad, autorización, continuidad, proveedores, soporte e incidentes.</w:t>
      </w:r>
    </w:p>
    <w:p>
      <w:pPr>
        <w:pStyle w:val="ListBullet"/>
      </w:pPr>
      <w:r>
        <w:t>Bloqueado por insumos externos: Excel reales, plantillas aprobadas y dictamen sanitario/jurídico.</w:t>
      </w:r>
    </w:p>
    <w:p>
      <w:pPr>
        <w:pStyle w:val="Heading1"/>
      </w:pPr>
      <w:r>
        <w:t>3. Usuarios, roles y autorización</w:t>
      </w:r>
    </w:p>
    <w:p>
      <w:r>
        <w:t>El modelo distingue identidad global, relación con una cuenta, ámbito de operación y acción solicitada. Cada comando es autorizado por la API mediante RBAC+ABAC; la regla base es denegar.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77"/>
        <w:gridCol w:w="2436"/>
        <w:gridCol w:w="5807"/>
      </w:tblGrid>
      <w:tr>
        <w:trPr>
          <w:cantSplit/>
          <w:tblHeader w:val="true"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Código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Rol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Ámbito máximo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ICE24 Admin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Global, sólo acciones explícitas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ICE24 Operaciones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Global operativo, sin secretos ni cobros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OW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Propietario de cuenta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 cuenta y recursos asociados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TC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Técnico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Asignaciones y máquinas autorizadas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Operador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Sucursal/máquinas asignadas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Responsable sanitario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Ámbito sanitario asignado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DV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Repartidor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Asociaciones, pedidos y evidencia propios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Restaurante Admin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 negocio y pedidos</w:t>
            </w:r>
          </w:p>
        </w:tc>
      </w:tr>
      <w:tr>
        <w:trPr>
          <w:cantSplit/>
        </w:trPr>
        <w:tc>
          <w:tcPr>
            <w:tcW w:type="dxa" w:w="87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Consulta/Auditor</w:t>
            </w:r>
          </w:p>
        </w:tc>
        <w:tc>
          <w:tcPr>
            <w:tcW w:type="dxa" w:w="580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Lectura/exportación expresamente concedida</w:t>
            </w:r>
          </w:p>
        </w:tc>
      </w:tr>
    </w:tbl>
    <w:p>
      <w:pPr>
        <w:pStyle w:val="Heading2"/>
      </w:pPr>
      <w:r>
        <w:t>3.1 Controles reservados</w:t>
      </w:r>
    </w:p>
    <w:p>
      <w:pPr>
        <w:pStyle w:val="ListBullet"/>
      </w:pPr>
      <w:r>
        <w:t>Alta global, revocación global y overrides documentados: sólo ICE24 Admin.</w:t>
      </w:r>
    </w:p>
    <w:p>
      <w:pPr>
        <w:pStyle w:val="ListBullet"/>
      </w:pPr>
      <w:r>
        <w:t>Publicación sanitaria: Responsable Sanitario y, cuando aplique, segunda aprobación ICE24.</w:t>
      </w:r>
    </w:p>
    <w:p>
      <w:pPr>
        <w:pStyle w:val="ListBullet"/>
      </w:pPr>
      <w:r>
        <w:t>Recuperación manual: dos operadores distintos; nadie se autoaprueba.</w:t>
      </w:r>
    </w:p>
    <w:p>
      <w:pPr>
        <w:pStyle w:val="ListBullet"/>
      </w:pPr>
      <w:r>
        <w:t>Cuenta en modo lectura: permite consulta autorizada y bloquea comandos.</w:t>
      </w:r>
    </w:p>
    <w:p>
      <w:pPr>
        <w:pStyle w:val="ListBullet"/>
      </w:pPr>
      <w:r>
        <w:t>Descargas confidenciales y acciones críticas: auditadas y con reautenticación cuando corresponda.</w:t>
      </w:r>
    </w:p>
    <w:p>
      <w:pPr>
        <w:pStyle w:val="Heading2"/>
        <w:pageBreakBefore/>
      </w:pPr>
      <w:r>
        <w:t>3.2 Clases de datos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3021"/>
        <w:gridCol w:w="4637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Clase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Ejemplos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Regla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Pública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Versión deliberadamente publicada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Sólo datos aprobados para portal público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Interna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Estados y catálogos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 autenticado con módulo y ámbito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Confidencial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Contacto, ubicación, costos, ventas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Mínimo privilegio; descarga auditada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Restringida</w:t>
            </w:r>
          </w:p>
        </w:tc>
        <w:tc>
          <w:tcPr>
            <w:tcW w:type="dxa" w:w="302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Recuperación, fiscal, originales, auditoría</w:t>
            </w:r>
          </w:p>
        </w:tc>
        <w:tc>
          <w:tcPr>
            <w:tcW w:type="dxa" w:w="463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Acción nominativa; nunca en logs</w:t>
            </w:r>
          </w:p>
        </w:tc>
      </w:tr>
    </w:tbl>
    <w:p>
      <w:pPr>
        <w:pStyle w:val="Heading1"/>
      </w:pPr>
      <w:r>
        <w:t>4. Alcance funcional y releases</w:t>
      </w:r>
    </w:p>
    <w:p>
      <w:r>
        <w:t>El alcance completo del producto permanece como roadmap. La estrategia evita intentar todos los dominios antes de obtener evidencia real con mantenimiento.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7"/>
        <w:gridCol w:w="2436"/>
        <w:gridCol w:w="5417"/>
      </w:tblGrid>
      <w:tr>
        <w:trPr>
          <w:cantSplit/>
          <w:tblHeader w:val="true"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Release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Propósito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Dominios principales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MVP-1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web de mantenimiento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Identidad, cuentas, sucursales, máquinas, órdenes, checklist, fotos, offline, historial y auditoría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MVP-2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técnico-sanitario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Bitácoras, laboratorio/restricciones mínimas y documentos/portal indispensables, sólo tras validación</w:t>
            </w:r>
          </w:p>
        </w:tc>
      </w:tr>
      <w:tr>
        <w:trPr>
          <w:cantSplit/>
        </w:trPr>
        <w:tc>
          <w:tcPr>
            <w:tcW w:type="dxa" w:w="12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Siguientes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Expansión operativa</w:t>
            </w:r>
          </w:p>
        </w:tc>
        <w:tc>
          <w:tcPr>
            <w:tcW w:type="dxa" w:w="541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Inventario, costos, ventas, tarjetas, pedidos, reparto, suscripción y publicación ampliada</w:t>
            </w:r>
          </w:p>
        </w:tc>
      </w:tr>
    </w:tbl>
    <w:p>
      <w:pPr>
        <w:pStyle w:val="Heading2"/>
      </w:pPr>
      <w:r>
        <w:t>4.1 Incluido en MVP-1</w:t>
      </w:r>
    </w:p>
    <w:p>
      <w:pPr>
        <w:pStyle w:val="ListBullet"/>
      </w:pPr>
      <w:r>
        <w:t>Inicio de sesión, recuperación y selección de contexto de cuenta.</w:t>
      </w:r>
    </w:p>
    <w:p>
      <w:pPr>
        <w:pStyle w:val="ListBullet"/>
      </w:pPr>
      <w:r>
        <w:t>Administración mínima de una cuenta piloto, sucursales, máquinas y asociaciones de usuarios.</w:t>
      </w:r>
    </w:p>
    <w:p>
      <w:pPr>
        <w:pStyle w:val="ListBullet"/>
      </w:pPr>
      <w:r>
        <w:t>Mantenimiento preventivo/correctivo, tickets, órdenes, asignación, prioridades y vencimientos.</w:t>
      </w:r>
    </w:p>
    <w:p>
      <w:pPr>
        <w:pStyle w:val="ListBullet"/>
      </w:pPr>
      <w:r>
        <w:t>Ejecución móvil con checklist, notas, fotografías, guardado local y sincronización.</w:t>
      </w:r>
    </w:p>
    <w:p>
      <w:pPr>
        <w:pStyle w:val="ListBullet"/>
      </w:pPr>
      <w:r>
        <w:t>Conflicto controlado, historial, auditoría y notificaciones transaccionales.</w:t>
      </w:r>
    </w:p>
    <w:p>
      <w:pPr>
        <w:pStyle w:val="ListBullet"/>
      </w:pPr>
      <w:r>
        <w:t>PWA instalable y responsive para escritorio, Android e iOS soportados.</w:t>
      </w:r>
    </w:p>
    <w:p>
      <w:pPr>
        <w:pStyle w:val="Heading2"/>
      </w:pPr>
      <w:r>
        <w:t>4.2 Fuera de MVP-1</w:t>
      </w:r>
    </w:p>
    <w:p>
      <w:pPr>
        <w:pStyle w:val="ListBullet"/>
      </w:pPr>
      <w:r>
        <w:t>Reglas sanitarias publicables, laboratorio y límites normativos.</w:t>
      </w:r>
    </w:p>
    <w:p>
      <w:pPr>
        <w:pStyle w:val="ListBullet"/>
      </w:pPr>
      <w:r>
        <w:t>Portal público/QR y publicación de documentos regulados.</w:t>
      </w:r>
    </w:p>
    <w:p>
      <w:pPr>
        <w:pStyle w:val="ListBullet"/>
      </w:pPr>
      <w:r>
        <w:t>Inventario avanzado, Excel de ventas, tarjetas, pedidos y reparto.</w:t>
      </w:r>
    </w:p>
    <w:p>
      <w:pPr>
        <w:pStyle w:val="ListBullet"/>
      </w:pPr>
      <w:r>
        <w:t>Cobro automático; Stripe puede evaluarse en sandbox sin condicionar el piloto.</w:t>
      </w:r>
    </w:p>
    <w:p>
      <w:pPr>
        <w:pStyle w:val="ListBullet"/>
      </w:pPr>
      <w:r>
        <w:t>Migración masiva; sólo carga inicial controlada y auditable.</w:t>
      </w:r>
    </w:p>
    <w:p>
      <w:pPr>
        <w:pStyle w:val="Heading1"/>
      </w:pPr>
      <w:r>
        <w:t>5. MVP-1: definición de la primera versión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Hipótesis de valor</w:t>
              <w:br/>
            </w:r>
            <w:r>
              <w:t>Si una cuenta piloto puede programar, ejecutar y demostrar mantenimiento desde una misma aplicación web —aun con red intermitente— ICE24 obtendrá trazabilidad operativa y evidencia suficiente para decidir la siguiente expansión.</w:t>
            </w:r>
          </w:p>
        </w:tc>
      </w:tr>
    </w:tbl>
    <w:p>
      <w:pPr>
        <w:pStyle w:val="Heading2"/>
      </w:pPr>
      <w:r>
        <w:t>5.1 Capacidad de referencia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23"/>
        <w:gridCol w:w="6197"/>
      </w:tblGrid>
      <w:tr>
        <w:trPr>
          <w:cantSplit/>
          <w:tblHeader w:val="true"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Elemento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Supuesto de piloto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Sucursales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5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Máquinas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25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Hasta 20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Escritorio web, Android PWA e iOS PWA</w:t>
            </w:r>
          </w:p>
        </w:tc>
      </w:tr>
      <w:tr>
        <w:trPr>
          <w:cantSplit/>
        </w:trPr>
        <w:tc>
          <w:tcPr>
            <w:tcW w:type="dxa" w:w="29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61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Sintéticos en desarrollo; reales sólo después de gates de producción</w:t>
            </w:r>
          </w:p>
        </w:tc>
      </w:tr>
    </w:tbl>
    <w:p>
      <w:pPr>
        <w:pStyle w:val="Heading2"/>
      </w:pPr>
      <w:r>
        <w:t>5.2 Métricas de los primeros 60 días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918"/>
        <w:gridCol w:w="2202"/>
      </w:tblGrid>
      <w:tr>
        <w:trPr>
          <w:cantSplit/>
          <w:tblHeader w:val="true"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Métrica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Invitados que completan primer acceso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80%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Órdenes asignadas completadas en PWA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70%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Actividades completadas antes de vencer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85%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Sincronizaciones sin soporte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98%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Incidentes P0/P1 por pérdida/exposición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691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Usuarios piloto activos semanalmente</w:t>
            </w:r>
          </w:p>
        </w:tc>
        <w:tc>
          <w:tcPr>
            <w:tcW w:type="dxa" w:w="220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&gt;= 60%</w:t>
            </w:r>
          </w:p>
        </w:tc>
      </w:tr>
    </w:tbl>
    <w:p>
      <w:pPr>
        <w:pStyle w:val="Heading2"/>
        <w:pageBreakBefore/>
      </w:pPr>
      <w:r>
        <w:t>5.3 Experiencia objetivo</w:t>
      </w:r>
    </w:p>
    <w:p>
      <w:r>
        <w:t>La interfaz será sobria, legible y orientada a la tarea: navegación lateral en escritorio, encabezados claros, tarjetas blancas sobre superficies azul pálido, estados semánticos visibles y acciones primarias en azul. En móvil se priorizan controles táctiles, cámara, avance local y estado de sincronización.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31"/>
        <w:gridCol w:w="6489"/>
      </w:tblGrid>
      <w:tr>
        <w:trPr>
          <w:cantSplit/>
          <w:tblHeader w:val="true"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Token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Uso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Azul marino #04144C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Marca, navegación, encabezados de alto énfasis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Azul acción #0455C4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Botones, enlaces, selección y foco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Celeste #9CD5EF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Acentos y superficies de apoyo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Blanco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Tarjetas y contenido principal</w:t>
            </w:r>
          </w:p>
        </w:tc>
      </w:tr>
      <w:tr>
        <w:trPr>
          <w:cantSplit/>
        </w:trPr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Semánticos</w:t>
            </w:r>
          </w:p>
        </w:tc>
        <w:tc>
          <w:tcPr>
            <w:tcW w:type="dxa" w:w="648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Éxito #16794D · advertencia #A15C00 · crítico #B42318 · offline #007B83</w:t>
            </w:r>
          </w:p>
        </w:tc>
      </w:tr>
    </w:tbl>
    <w:p>
      <w:pPr>
        <w:pStyle w:val="Heading1"/>
      </w:pPr>
      <w:r>
        <w:t>6. Así se verá la primera versión</w:t>
      </w:r>
    </w:p>
    <w:p>
      <w:r>
        <w:t>Las siguientes pantallas son una visualización conceptual de la primera versión; no son una interfaz implementada ni sustituyen pruebas con usuarios. Traducen la arquitectura de información, la identidad visual y los flujos definidos en la documentación actual.</w:t>
      </w:r>
    </w:p>
    <w:p>
      <w:pPr>
        <w:pStyle w:val="Heading2"/>
      </w:pPr>
      <w:r>
        <w:t>6.1 Escritorio: tablero de mantenimiento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6444"/>
            <wp:docPr id="1" name="Picture 1" descr="Concepto de tablero de mantenimiento de ICE24 OS en escritorio con navegación lateral, métricas y órdenes prioritari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6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1. Concepto de la vista inicial para propietario u operaciones.</w:t>
      </w:r>
    </w:p>
    <w:p>
      <w:pPr>
        <w:pStyle w:val="ListBullet"/>
      </w:pPr>
      <w:r>
        <w:t>Resumen inmediato de carga, vencimientos y cumplimiento.</w:t>
      </w:r>
    </w:p>
    <w:p>
      <w:pPr>
        <w:pStyle w:val="ListBullet"/>
      </w:pPr>
      <w:r>
        <w:t>Filtro por cuenta y sucursal sin mezclar ámbitos.</w:t>
      </w:r>
    </w:p>
    <w:p>
      <w:pPr>
        <w:pStyle w:val="ListBullet"/>
      </w:pPr>
      <w:r>
        <w:t>Acceso visible a órdenes, máquinas, historial y auditoría según permisos.</w:t>
      </w:r>
    </w:p>
    <w:p>
      <w:pPr>
        <w:pStyle w:val="ListBullet"/>
      </w:pPr>
      <w:r>
        <w:t>Estados comprensibles por texto y color; el color nunca es la única señal.</w:t>
      </w:r>
    </w:p>
    <w:p>
      <w:pPr>
        <w:pStyle w:val="Heading2"/>
      </w:pPr>
      <w:r>
        <w:t>6.2 Móvil: ejecución de una orden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54680" cy="5257800"/>
            <wp:docPr id="2" name="Picture 2" descr="Concepto móvil de una orden de mantenimiento con checklist, estado sin conexión y guardado loc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525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2. Concepto de la experiencia de campo en PWA instalada.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6F6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07B83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07B83"/>
              </w:rPr>
              <w:t>Comportamiento clave</w:t>
              <w:br/>
            </w:r>
            <w:r>
              <w:t>La pérdida de red no borra el trabajo ni simula una sincronización. La aplicación muestra que está offline, guarda comandos y fotografías en el dispositivo, conserva identificadores idempotentes y sincroniza cuando vuelve la conectividad.</w:t>
            </w:r>
          </w:p>
        </w:tc>
      </w:tr>
    </w:tbl>
    <w:p>
      <w:pPr>
        <w:pStyle w:val="Heading2"/>
        <w:pageBreakBefore/>
      </w:pPr>
      <w:r>
        <w:t>6.3 Pantallas mínimas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44"/>
        <w:gridCol w:w="6976"/>
      </w:tblGrid>
      <w:tr>
        <w:trPr>
          <w:cantSplit/>
          <w:tblHeader w:val="true"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Superficie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Pantallas del primer corte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Inicio de sesión, 2FA cuando aplique, recuperación y selección de cuenta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Administración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Resumen, sucursales, máquinas, usuarios/asociaciones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Mantenimiento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Listado, detalle, creación/asignación, ejecución, conflicto e historial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Auditoría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Eventos por recurso, actor, fecha y acción; exportación sólo autorizada</w:t>
            </w:r>
          </w:p>
        </w:tc>
      </w:tr>
      <w:tr>
        <w:trPr>
          <w:cantSplit/>
        </w:trPr>
        <w:tc>
          <w:tcPr>
            <w:tcW w:type="dxa" w:w="214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Sistema</w:t>
            </w:r>
          </w:p>
        </w:tc>
        <w:tc>
          <w:tcPr>
            <w:tcW w:type="dxa" w:w="69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Estado offline/sincronización, notificaciones y sesión</w:t>
            </w:r>
          </w:p>
        </w:tc>
      </w:tr>
    </w:tbl>
    <w:p>
      <w:pPr>
        <w:pStyle w:val="Heading1"/>
      </w:pPr>
      <w:r>
        <w:t>7. Escenario operativo de punta a punta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1887093"/>
            <wp:docPr id="3" name="Picture 3" descr="Flujo de siete pasos desde acceso y selección de contexto hasta cierre, historial y audit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87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3. Flujo principal que debe quedar demostrable en el MVP-1.</w:t>
      </w:r>
    </w:p>
    <w:p>
      <w:pPr>
        <w:pStyle w:val="ListNumber"/>
        <w:numPr>
          <w:ilvl w:val="0"/>
          <w:numId w:val="11"/>
        </w:numPr>
      </w:pPr>
      <w:r>
        <w:t>El usuario inicia sesión mediante Keycloak. Los roles críticos usan TOTP y el navegador sólo recibe una cookie BFF segura.</w:t>
      </w:r>
    </w:p>
    <w:p>
      <w:pPr>
        <w:pStyle w:val="ListNumber"/>
        <w:numPr>
          <w:ilvl w:val="0"/>
          <w:numId w:val="11"/>
        </w:numPr>
      </w:pPr>
      <w:r>
        <w:t>Selecciona la cuenta y sucursal. El servidor valida que la relación continúe activa.</w:t>
      </w:r>
    </w:p>
    <w:p>
      <w:pPr>
        <w:pStyle w:val="ListNumber"/>
        <w:numPr>
          <w:ilvl w:val="0"/>
          <w:numId w:val="11"/>
        </w:numPr>
      </w:pPr>
      <w:r>
        <w:t>Un propietario u operador autorizado crea la orden, selecciona máquina, prioridad, fecha y técnico.</w:t>
      </w:r>
    </w:p>
    <w:p>
      <w:pPr>
        <w:pStyle w:val="ListNumber"/>
        <w:numPr>
          <w:ilvl w:val="0"/>
          <w:numId w:val="11"/>
        </w:numPr>
      </w:pPr>
      <w:r>
        <w:t>El técnico abre su lista asignada, descarga la tarea y ejecuta checklist, notas y fotografías.</w:t>
      </w:r>
    </w:p>
    <w:p>
      <w:pPr>
        <w:pStyle w:val="ListNumber"/>
        <w:numPr>
          <w:ilvl w:val="0"/>
          <w:numId w:val="11"/>
        </w:numPr>
      </w:pPr>
      <w:r>
        <w:t>Si no hay red, la PWA conserva comandos pendientes y muestra límites de almacenamiento y estado local.</w:t>
      </w:r>
    </w:p>
    <w:p>
      <w:pPr>
        <w:pStyle w:val="ListNumber"/>
        <w:numPr>
          <w:ilvl w:val="0"/>
          <w:numId w:val="11"/>
        </w:numPr>
      </w:pPr>
      <w:r>
        <w:t>Al reconectar, sincroniza de forma idempotente. Un conflicto no se sobreescribe silenciosamente; se resuelve con contexto.</w:t>
      </w:r>
    </w:p>
    <w:p>
      <w:pPr>
        <w:pStyle w:val="ListNumber"/>
        <w:numPr>
          <w:ilvl w:val="0"/>
          <w:numId w:val="11"/>
        </w:numPr>
      </w:pPr>
      <w:r>
        <w:t>La orden cerrada aparece en historial con evidencia, responsables, tiempos y eventos de auditoría.</w:t>
      </w:r>
    </w:p>
    <w:p>
      <w:pPr>
        <w:pStyle w:val="Heading2"/>
      </w:pPr>
      <w:r>
        <w:t>7.1 Resultado demostrable</w:t>
      </w:r>
    </w:p>
    <w:p>
      <w:r>
        <w:t>Durante una demostración, el equipo deberá poder alternar entre escritorio y móvil, provocar una pérdida de red controlada, completar al menos una actividad offline, reconectar y comprobar que el historial del servidor conserva exactamente una operación y la evidencia correspondiente.</w:t>
      </w:r>
    </w:p>
    <w:p>
      <w:pPr>
        <w:pStyle w:val="Heading1"/>
      </w:pPr>
      <w:r>
        <w:t>8. Arquitectura de solución en Google Cloud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338703"/>
            <wp:docPr id="4" name="Picture 4" descr="Diagrama de arquitectura de ICE24 OS en Google Cloud con Cloud Run, Cloud SQL, Storage, Keycloak, mensajería y observabilida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3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i/>
          <w:color w:val="5E687A"/>
        </w:rPr>
        <w:t>Figura 4. Arquitectura objetivo del piloto; la topología final requiere validación de cuotas y costos regionales.</w:t>
      </w:r>
    </w:p>
    <w:p>
      <w:pPr>
        <w:pStyle w:val="Heading2"/>
        <w:pageBreakBefore/>
      </w:pPr>
      <w:r>
        <w:t>8.1 Despliegues y servicios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1"/>
        <w:gridCol w:w="2533"/>
        <w:gridCol w:w="4736"/>
      </w:tblGrid>
      <w:tr>
        <w:trPr>
          <w:cantSplit/>
          <w:tblHeader w:val="true"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Componente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Servicio propuesto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Responsabilidad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PWA + BFF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Run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Interfaz privada, sesión segura y llamadas de usuario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API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Run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Reglas de negocio, autorización, persistencia y auditoría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Portal público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Run + CDN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Sólo contenido deliberadamente publicado; posterior a MVP-1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 en Cloud Run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OIDC, credenciales, TOTP y sesiones globales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SQL PostgreSQL/PostGIS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 transaccionales, geoespaciales y PITR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Objetos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Cloud Storage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Cuarentena, originales y derivados con URLs temporales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Asíncrono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Pub/Sub, Cloud Tasks, Scheduler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Notificaciones, trabajos, reintentos y programación</w:t>
            </w:r>
          </w:p>
        </w:tc>
      </w:tr>
      <w:tr>
        <w:trPr>
          <w:cantSplit/>
        </w:trPr>
        <w:tc>
          <w:tcPr>
            <w:tcW w:type="dxa" w:w="185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</w:t>
            </w:r>
          </w:p>
        </w:tc>
        <w:tc>
          <w:tcPr>
            <w:tcW w:type="dxa" w:w="25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Artifact Registry, Terraform, OTel</w:t>
            </w:r>
          </w:p>
        </w:tc>
        <w:tc>
          <w:tcPr>
            <w:tcW w:type="dxa" w:w="4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Promoción, infraestructura y telemetría</w:t>
            </w:r>
          </w:p>
        </w:tc>
      </w:tr>
    </w:tbl>
    <w:p>
      <w:pPr>
        <w:pStyle w:val="Heading1"/>
      </w:pPr>
      <w:r>
        <w:t>9. Stack y estructura técnica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6"/>
        <w:gridCol w:w="6684"/>
      </w:tblGrid>
      <w:tr>
        <w:trPr>
          <w:cantSplit/>
          <w:tblHeader w:val="true"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Capa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Tecnología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Runtime/lenguaje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Node.js 24 LTS · TypeScript estricto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Monorepo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pnpm workspaces · Turborepo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Web/PWA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Next.js · React · App Router · Dexie/IndexedDB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API/workers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NestJS · REST/OpenAPI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Persistencia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PostgreSQL/PostGIS · Prisma + SQL explícito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 unitario · Playwright E2E/PDF · Testcontainers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Entrega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Docker · Terraform · Artifact Registry · CI/CD</w:t>
            </w:r>
          </w:p>
        </w:tc>
      </w:tr>
      <w:tr>
        <w:trPr>
          <w:cantSplit/>
        </w:trPr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Observabilidad</w:t>
            </w:r>
          </w:p>
        </w:tc>
        <w:tc>
          <w:tcPr>
            <w:tcW w:type="dxa" w:w="668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OpenTelemetry · Cloud Logging/Monitoring/Trace</w:t>
            </w:r>
          </w:p>
        </w:tc>
      </w:tr>
    </w:tbl>
    <w:p>
      <w:pPr>
        <w:pStyle w:val="Heading2"/>
      </w:pPr>
      <w:r>
        <w:t>9.1 Arquitectura de aplicación</w:t>
      </w:r>
    </w:p>
    <w:p>
      <w:r>
        <w:t>Se adopta un monolito modular: un contrato de API independiente, módulos de dominio con límites explícitos y procesamiento asíncrono cuando aporta confiabilidad. No se justifican microservicios ni Kubernetes en el piloto.</w:t>
      </w:r>
    </w:p>
    <w:p>
      <w:pPr>
        <w:pStyle w:val="Heading2"/>
      </w:pPr>
      <w:r>
        <w:t>9.2 Estructura de repositorio prevista</w:t>
      </w:r>
    </w:p>
    <w:p>
      <w:pPr>
        <w:pStyle w:val="ListBullet"/>
      </w:pPr>
      <w:r>
        <w:t>apps/web — PWA privada y BFF.</w:t>
      </w:r>
    </w:p>
    <w:p>
      <w:pPr>
        <w:pStyle w:val="ListBullet"/>
      </w:pPr>
      <w:r>
        <w:t>apps/api — API NestJS y contrato OpenAPI.</w:t>
      </w:r>
    </w:p>
    <w:p>
      <w:pPr>
        <w:pStyle w:val="ListBullet"/>
      </w:pPr>
      <w:r>
        <w:t>apps/portal — portal público futuro.</w:t>
      </w:r>
    </w:p>
    <w:p>
      <w:pPr>
        <w:pStyle w:val="ListBullet"/>
      </w:pPr>
      <w:r>
        <w:t>apps/worker y apps/pdf — procesamiento asíncrono y documentos.</w:t>
      </w:r>
    </w:p>
    <w:p>
      <w:pPr>
        <w:pStyle w:val="ListBullet"/>
      </w:pPr>
      <w:r>
        <w:t>packages/* — dominio, autorización, UI, contratos, configuración y utilidades compartidas.</w:t>
      </w:r>
    </w:p>
    <w:p>
      <w:pPr>
        <w:pStyle w:val="ListBullet"/>
      </w:pPr>
      <w:r>
        <w:t>infra/* — Terraform, entornos y políticas de despliegue.</w:t>
      </w:r>
    </w:p>
    <w:p>
      <w:pPr>
        <w:pStyle w:val="Heading2"/>
      </w:pPr>
      <w:r>
        <w:t>9.3 Política de versiones</w:t>
      </w:r>
    </w:p>
    <w:p>
      <w:r>
        <w:t>Fase 1 fijará versiones exactas en packageManager, runtime, imágenes y lockfile. No se usarán RC/beta/canary en componentes críticos. Parches críticos se aplicarán dentro de 72 horas cuando exista una corrección compatible.</w:t>
      </w:r>
    </w:p>
    <w:p>
      <w:pPr>
        <w:pStyle w:val="Heading1"/>
      </w:pPr>
      <w:r>
        <w:t>10. Datos, seguridad e identidad</w:t>
      </w:r>
    </w:p>
    <w:p>
      <w:pPr>
        <w:pStyle w:val="Heading2"/>
      </w:pPr>
      <w:r>
        <w:t>10.1 Identidad y sesión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8"/>
        <w:gridCol w:w="6392"/>
      </w:tblGrid>
      <w:tr>
        <w:trPr>
          <w:cantSplit/>
          <w:tblHeader w:val="true"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Control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Valor propuesto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Protocolo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OIDC Authorization Code + PKCE mediante BFF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Access token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5 minutos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Sesión inactiva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30 min administración; hasta 8 h en campo con bloqueo/reauth sensible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Duración absoluta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12 horas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Recordar dispositivo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Deshabilitado en piloto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2FA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TOTP obligatorio para ICE24 Admin, propietarios, responsables sanitarios y publicadores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Recuperación</w:t>
            </w:r>
          </w:p>
        </w:tc>
        <w:tc>
          <w:tcPr>
            <w:tcW w:type="dxa" w:w="639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Enlace de un uso; casos excepcionales con dos personas y auditoría</w:t>
            </w:r>
          </w:p>
        </w:tc>
      </w:tr>
    </w:tbl>
    <w:p>
      <w:pPr>
        <w:pStyle w:val="Heading2"/>
      </w:pPr>
      <w:r>
        <w:t>10.2 Invariantes de datos</w:t>
      </w:r>
    </w:p>
    <w:p>
      <w:pPr>
        <w:pStyle w:val="ListBullet"/>
      </w:pPr>
      <w:r>
        <w:t>Todas las entidades de negocio quedan vinculadas al tenant/cuenta aplicable.</w:t>
      </w:r>
    </w:p>
    <w:p>
      <w:pPr>
        <w:pStyle w:val="ListBullet"/>
      </w:pPr>
      <w:r>
        <w:t>Los identificadores de cliente para sincronización permiten idempotencia y detección de duplicados.</w:t>
      </w:r>
    </w:p>
    <w:p>
      <w:pPr>
        <w:pStyle w:val="ListBullet"/>
      </w:pPr>
      <w:r>
        <w:t>Los objetos binarios no se almacenan en PostgreSQL; sólo metadatos y referencias.</w:t>
      </w:r>
    </w:p>
    <w:p>
      <w:pPr>
        <w:pStyle w:val="ListBullet"/>
      </w:pPr>
      <w:r>
        <w:t>Los originales privados no se convierten en públicos por compartir un enlace interno.</w:t>
      </w:r>
    </w:p>
    <w:p>
      <w:pPr>
        <w:pStyle w:val="ListBullet"/>
      </w:pPr>
      <w:r>
        <w:t>Auditoría append-only para acciones relevantes; datos restringidos no aparecen en logs.</w:t>
      </w:r>
    </w:p>
    <w:p>
      <w:pPr>
        <w:pStyle w:val="ListBullet"/>
      </w:pPr>
      <w:r>
        <w:t>PostGIS y las reglas geoespaciales permanecen bajo SQL explícito cuando Prisma no alcanza.</w:t>
      </w:r>
    </w:p>
    <w:p>
      <w:pPr>
        <w:pStyle w:val="Heading2"/>
      </w:pPr>
      <w:r>
        <w:t>10.3 Defensa en profundidad</w:t>
      </w:r>
    </w:p>
    <w:p>
      <w:r>
        <w:t>Cookie HttpOnly/Secure/SameSite, CSP y cabeceras, validación de entrada, autorización por comando, secretos en Secret Manager, cifrado administrado/KMS, red privada para base de datos, escaneo antimalware, mínimo privilegio de servicios y pruebas negativas por cuenta, acción, ámbito y sensibilidad.</w:t>
      </w:r>
    </w:p>
    <w:p>
      <w:pPr>
        <w:pStyle w:val="Heading1"/>
      </w:pPr>
      <w:r>
        <w:t>11. Offline, archivos, observabilidad y continuidad</w:t>
      </w:r>
    </w:p>
    <w:p>
      <w:pPr>
        <w:pStyle w:val="Heading2"/>
      </w:pPr>
      <w:r>
        <w:t>11.1 Modo offline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41"/>
        <w:gridCol w:w="6879"/>
      </w:tblGrid>
      <w:tr>
        <w:trPr>
          <w:cantSplit/>
          <w:tblHeader w:val="true"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Condición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Respuesta esperada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Red estable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 completa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Alta latencia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Feedback visible y cargas reanudables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Pérdida intermitente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Reintentos idempotentes y estado visible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 red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Sólo tareas de mantenimiento previamente sincronizadas</w:t>
            </w:r>
          </w:p>
        </w:tc>
      </w:tr>
      <w:tr>
        <w:trPr>
          <w:cantSplit/>
        </w:trPr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Límite local</w:t>
            </w:r>
          </w:p>
        </w:tc>
        <w:tc>
          <w:tcPr>
            <w:tcW w:type="dxa" w:w="68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7 días, 50 tareas, 200 fotos o 1 GB; advertencia al 80%</w:t>
            </w:r>
          </w:p>
        </w:tc>
      </w:tr>
    </w:tbl>
    <w:p>
      <w:pPr>
        <w:pStyle w:val="Heading2"/>
      </w:pPr>
      <w:r>
        <w:t>11.2 Ciclo de archivos</w:t>
      </w:r>
    </w:p>
    <w:p>
      <w:pPr>
        <w:pStyle w:val="ListNumber"/>
        <w:numPr>
          <w:ilvl w:val="0"/>
          <w:numId w:val="12"/>
        </w:numPr>
      </w:pPr>
      <w:r>
        <w:t>Carga a bucket privado de cuarentena mediante autorización temporal.</w:t>
      </w:r>
    </w:p>
    <w:p>
      <w:pPr>
        <w:pStyle w:val="ListNumber"/>
        <w:numPr>
          <w:ilvl w:val="0"/>
          <w:numId w:val="12"/>
        </w:numPr>
      </w:pPr>
      <w:r>
        <w:t>ClamAV en Cloud Run, activado por Eventarc; fallo o timeout conserva cuarentena.</w:t>
      </w:r>
    </w:p>
    <w:p>
      <w:pPr>
        <w:pStyle w:val="ListNumber"/>
        <w:numPr>
          <w:ilvl w:val="0"/>
          <w:numId w:val="12"/>
        </w:numPr>
      </w:pPr>
      <w:r>
        <w:t>Sólo un resultado limpio permite promoción a originales/derivados.</w:t>
      </w:r>
    </w:p>
    <w:p>
      <w:pPr>
        <w:pStyle w:val="ListNumber"/>
        <w:numPr>
          <w:ilvl w:val="0"/>
          <w:numId w:val="12"/>
        </w:numPr>
      </w:pPr>
      <w:r>
        <w:t>Descargas con URLs firmadas de corta duración; exportaciones generadas por tiempo limitado.</w:t>
      </w:r>
    </w:p>
    <w:p>
      <w:pPr>
        <w:pStyle w:val="Heading2"/>
      </w:pPr>
      <w:r>
        <w:t>11.3 Operación y continuidad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10"/>
        <w:gridCol w:w="5710"/>
      </w:tblGrid>
      <w:tr>
        <w:trPr>
          <w:cantSplit/>
          <w:tblHeader w:val="true"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Indicador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Objetivo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Disponibilidad privada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99.5% mensual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Lectura API común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p95 &lt;= 500 ms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Escritura API común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p95 &lt;= 800 ms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LCP principal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p75 &lt;= 2.5 s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Datos transaccionales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RPO 15 min · RTO 4 h</w:t>
            </w:r>
          </w:p>
        </w:tc>
      </w:tr>
      <w:tr>
        <w:trPr>
          <w:cantSplit/>
        </w:trPr>
        <w:tc>
          <w:tcPr>
            <w:tcW w:type="dxa" w:w="34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Restauración</w:t>
            </w:r>
          </w:p>
        </w:tc>
        <w:tc>
          <w:tcPr>
            <w:tcW w:type="dxa" w:w="571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 trimestral antes de disponibilidad general</w:t>
            </w:r>
          </w:p>
        </w:tc>
      </w:tr>
    </w:tbl>
    <w:p>
      <w:pPr>
        <w:pStyle w:val="Heading1"/>
      </w:pPr>
      <w:r>
        <w:t>12. Entornos, costos y despliegue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2631"/>
        <w:gridCol w:w="5027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Entorno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Uso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Datos y aislamiento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Local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Desarrollo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Sintéticos · Docker Compose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CI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efímeras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Fábricas/sintéticos · Testcontainers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Development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Integración accesible por URL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Sintéticos · proyecto GCP no productivo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Staging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de release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Anonimizados/sintéticos · recursos separados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Production</w:t>
            </w:r>
          </w:p>
        </w:tc>
        <w:tc>
          <w:tcPr>
            <w:tcW w:type="dxa" w:w="263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Piloto y operación</w:t>
            </w:r>
          </w:p>
        </w:tc>
        <w:tc>
          <w:tcPr>
            <w:tcW w:type="dxa" w:w="502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Reales · proyecto productivo, mínimo privilegio y Cloud SQL HA</w:t>
            </w:r>
          </w:p>
        </w:tc>
      </w:tr>
    </w:tbl>
    <w:p>
      <w:pPr>
        <w:pStyle w:val="Heading2"/>
      </w:pPr>
      <w:r>
        <w:t>12.1 Estrategia de despliegue</w:t>
      </w:r>
    </w:p>
    <w:p>
      <w:pPr>
        <w:pStyle w:val="ListBullet"/>
      </w:pPr>
      <w:r>
        <w:t>Terraform es la vía normal de creación de infraestructura.</w:t>
      </w:r>
    </w:p>
    <w:p>
      <w:pPr>
        <w:pStyle w:val="ListBullet"/>
      </w:pPr>
      <w:r>
        <w:t>CI construye una imagen inmutable y promueve la misma imagen entre entornos.</w:t>
      </w:r>
    </w:p>
    <w:p>
      <w:pPr>
        <w:pStyle w:val="ListBullet"/>
      </w:pPr>
      <w:r>
        <w:t>Development y staging escalan a cero donde sea seguro; Keycloak mantiene una instancia mínima.</w:t>
      </w:r>
    </w:p>
    <w:p>
      <w:pPr>
        <w:pStyle w:val="ListBullet"/>
      </w:pPr>
      <w:r>
        <w:t>Producción y no producción viven en proyectos GCP distintos.</w:t>
      </w:r>
    </w:p>
    <w:p>
      <w:pPr>
        <w:pStyle w:val="ListBullet"/>
      </w:pPr>
      <w:r>
        <w:t>Los dominios app, api, auth, public y files quedan sujetos a compra y configuración DNS.</w:t>
      </w:r>
    </w:p>
    <w:p>
      <w:pPr>
        <w:pStyle w:val="Heading2"/>
      </w:pPr>
      <w:r>
        <w:t>12.2 Presupuesto de control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FFF6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A15C00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A15C00"/>
              </w:rPr>
              <w:t>Objetivo del piloto</w:t>
              <w:br/>
            </w:r>
            <w:r>
              <w:t>Mantener la plataforma entre USD 100 y 300 mensuales. Tope provisional: USD 400/mes en producción y USD 150/mes combinados para development/staging, excluyendo impuestos, soporte empresarial y crecimiento extraordinario.</w:t>
            </w:r>
          </w:p>
        </w:tc>
      </w:tr>
    </w:tbl>
    <w:p>
      <w:r>
        <w:t>Antes de aprovisionar deben ejecutarse la calculadora de precios de Google Cloud y presupuestos con alertas al 50%, 80% y 100%. Cloud SQL y la instancia mínima de Keycloak son los principales costos persistentes.</w:t>
      </w:r>
    </w:p>
    <w:p>
      <w:pPr>
        <w:pStyle w:val="Heading1"/>
      </w:pPr>
      <w:r>
        <w:t>13. Calidad y criterios de aceptación</w:t>
      </w:r>
    </w:p>
    <w:p>
      <w:pPr>
        <w:pStyle w:val="Heading2"/>
      </w:pPr>
      <w:r>
        <w:t>13.1 Pirámide de pruebas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2436"/>
        <w:gridCol w:w="5028"/>
      </w:tblGrid>
      <w:tr>
        <w:trPr>
          <w:cantSplit/>
          <w:tblHeader w:val="true"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Nivel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Herramienta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Cobertura mínima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Unidad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Dominio, políticas, validaciones y adaptadores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Integración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Vitest + Testcontainers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PostgreSQL/PostGIS, repositorios, migraciones y colas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Contrato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OpenAPI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Compatibilidad web/API y errores estables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E2E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Playwright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Acceso, orden, offline, sincronización, conflicto y auditoría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Seguridad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Automatizada + revisión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 negativa, sesiones, archivos y secretos</w:t>
            </w:r>
          </w:p>
        </w:tc>
      </w:tr>
      <w:tr>
        <w:trPr>
          <w:cantSplit/>
        </w:trPr>
        <w:tc>
          <w:tcPr>
            <w:tcW w:type="dxa" w:w="165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Accesibilidad</w:t>
            </w:r>
          </w:p>
        </w:tc>
        <w:tc>
          <w:tcPr>
            <w:tcW w:type="dxa" w:w="24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Automatizada + manual</w:t>
            </w:r>
          </w:p>
        </w:tc>
        <w:tc>
          <w:tcPr>
            <w:tcW w:type="dxa" w:w="50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WCAG 2.2 AA en flujos MVP-1</w:t>
            </w:r>
          </w:p>
        </w:tc>
      </w:tr>
    </w:tbl>
    <w:p>
      <w:pPr>
        <w:pStyle w:val="Heading2"/>
      </w:pPr>
      <w:r>
        <w:t>13.2 Definition of Done del primer flujo</w:t>
      </w:r>
    </w:p>
    <w:p>
      <w:pPr>
        <w:pStyle w:val="ListBullet"/>
      </w:pPr>
      <w:r>
        <w:t>Historia trazada a requisito y criterio de aceptación.</w:t>
      </w:r>
    </w:p>
    <w:p>
      <w:pPr>
        <w:pStyle w:val="ListBullet"/>
      </w:pPr>
      <w:r>
        <w:t>Pruebas positivas y negativas por acción, cuenta, ámbito y sensibilidad.</w:t>
      </w:r>
    </w:p>
    <w:p>
      <w:pPr>
        <w:pStyle w:val="ListBullet"/>
      </w:pPr>
      <w:r>
        <w:t>Telemetría útil sin datos restringidos.</w:t>
      </w:r>
    </w:p>
    <w:p>
      <w:pPr>
        <w:pStyle w:val="ListBullet"/>
      </w:pPr>
      <w:r>
        <w:t>Manejo de error, reintento e idempotencia demostrado.</w:t>
      </w:r>
    </w:p>
    <w:p>
      <w:pPr>
        <w:pStyle w:val="ListBullet"/>
      </w:pPr>
      <w:r>
        <w:t>Accesibilidad por teclado, lector, contraste y tamaño táctil.</w:t>
      </w:r>
    </w:p>
    <w:p>
      <w:pPr>
        <w:pStyle w:val="ListBullet"/>
      </w:pPr>
      <w:r>
        <w:t>Documentación y runbook actualizados; rollback probado cuando aplique.</w:t>
      </w:r>
    </w:p>
    <w:p>
      <w:pPr>
        <w:pStyle w:val="ListBullet"/>
      </w:pPr>
      <w:r>
        <w:t>Despliegue en development mediante pipeline, sin secretos en Git.</w:t>
      </w:r>
    </w:p>
    <w:p>
      <w:pPr>
        <w:pStyle w:val="Heading2"/>
      </w:pPr>
      <w:r>
        <w:t>13.3 Compatibilidad</w:t>
      </w:r>
    </w:p>
    <w:p>
      <w:r>
        <w:t>Nivel A: Chrome y Edge actuales en Windows 11, Safari actual en macOS, Chrome Android 11+ y PWA en las dos versiones mayores actuales de iOS. Se difieren modo oscuro y densidad configurable; no se difieren contraste, foco, zoom ni tamaño táctil.</w:t>
      </w:r>
    </w:p>
    <w:p>
      <w:pPr>
        <w:pStyle w:val="Heading1"/>
      </w:pPr>
      <w:r>
        <w:t>14. Estado de Fase 0 y gates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72"/>
        <w:gridCol w:w="2241"/>
        <w:gridCol w:w="2485"/>
        <w:gridCol w:w="3322"/>
      </w:tblGrid>
      <w:tr>
        <w:trPr>
          <w:cantSplit/>
          <w:tblHeader w:val="true"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Tarea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Entregable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Gate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F0-01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RACI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Nombres y aceptación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F0-02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 web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Dirección/Producto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F0-03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Decisiones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curso avanzado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Resolver P0/P1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F0-04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Plataforma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Presupuesto/privacidad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F0-05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SLO/continuidad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Operación/Seguridad/Legal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F0-06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Stack/Vitest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Lista para adopción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Lockfile en Fase 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F0-07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Identidad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PoC Keycloak/recuperación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F0-08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Autorización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Validación por dominio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F0-09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Códigos/folios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Spike en Fase 1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F0-10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Formatos Excel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 archivos reales anonimizados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F0-11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Plantillas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Manuales/plantillas aprobadas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F0-12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Sanidad/jurídico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Bloqueada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Dictamen de responsables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F0-13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Proveedores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Cuentas/cuotas/presupuesto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F0-14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Soporte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Dispositivos del piloto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F0-15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Incidentes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Guardia/canales reales</w:t>
            </w:r>
          </w:p>
        </w:tc>
      </w:tr>
      <w:tr>
        <w:trPr>
          <w:cantSplit/>
        </w:trPr>
        <w:tc>
          <w:tcPr>
            <w:tcW w:type="dxa" w:w="10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F0-16</w:t>
            </w:r>
          </w:p>
        </w:tc>
        <w:tc>
          <w:tcPr>
            <w:tcW w:type="dxa" w:w="224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Backlog</w:t>
            </w:r>
          </w:p>
        </w:tc>
        <w:tc>
          <w:tcPr>
            <w:tcW w:type="dxa" w:w="248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Terminado documentalmente</w:t>
            </w:r>
          </w:p>
        </w:tc>
        <w:tc>
          <w:tcPr>
            <w:tcW w:type="dxa" w:w="332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 de releases</w:t>
            </w:r>
          </w:p>
        </w:tc>
      </w:tr>
    </w:tbl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6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16794D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16794D"/>
              </w:rPr>
              <w:t>Próximo gate recomendado</w:t>
              <w:br/>
            </w:r>
            <w:r>
              <w:t>Nombrar la RACI, aprobar el MVP-1, autorizar presupuesto/privacidad y ejecutar Fase 1 con un esqueleto sin datos sensibles. En paralelo, recopilar Excel, manuales y dictámenes externos.</w:t>
            </w:r>
          </w:p>
        </w:tc>
      </w:tr>
    </w:tbl>
    <w:p>
      <w:pPr>
        <w:pStyle w:val="Heading1"/>
      </w:pPr>
      <w:r>
        <w:t>15. Riesgos, bloqueos y decisiones abiertas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2728"/>
        <w:gridCol w:w="3323"/>
      </w:tblGrid>
      <w:tr>
        <w:trPr>
          <w:cantSplit/>
          <w:tblHeader w:val="true"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Riesgo o bloqueo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Impacto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Tratamiento recomendado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Excel reales no disponibles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se validan layouts ni reglas de importación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Recibir 3 muestras anonimizadas y construir fixtures versionados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Plantillas aprobadas ausentes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se puede automatizar documentación regulada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Catálogo y responsables por plantilla antes de MVP-2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Dictamen sanitario/jurídico pendiente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No publicar ni fijar retenciones definitivas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Taller y aprobación registrada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Presupuesto/privacidad GCP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Producción no autorizada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Calculadora, DPA, residencia y alertas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 en Cloud Run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Costo fijo y componente crítico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PoC de sesiones, backup, recuperación y actualización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Conectividad/dispositivo real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Offline podría fallar en campo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Inventario de hardware y pruebas con red degradada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Proveedor correo/mapas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Costo y transferencia de datos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Adaptadores, cuotas, DPA y minimización</w:t>
            </w:r>
          </w:p>
        </w:tc>
      </w:tr>
      <w:tr>
        <w:trPr>
          <w:cantSplit/>
        </w:trPr>
        <w:tc>
          <w:tcPr>
            <w:tcW w:type="dxa" w:w="30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Expansión prematura</w:t>
            </w:r>
          </w:p>
        </w:tc>
        <w:tc>
          <w:tcPr>
            <w:tcW w:type="dxa" w:w="272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Retraso del valor principal</w:t>
            </w:r>
          </w:p>
        </w:tc>
        <w:tc>
          <w:tcPr>
            <w:tcW w:type="dxa" w:w="332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Proteger alcance MVP-1 con gates por evidencia</w:t>
            </w:r>
          </w:p>
        </w:tc>
      </w:tr>
    </w:tbl>
    <w:p>
      <w:pPr>
        <w:pStyle w:val="Heading2"/>
      </w:pPr>
      <w:r>
        <w:t>15.1 Decisiones que deben cerrarse primero</w:t>
      </w:r>
    </w:p>
    <w:p>
      <w:pPr>
        <w:pStyle w:val="ListNumber"/>
        <w:numPr>
          <w:ilvl w:val="0"/>
          <w:numId w:val="13"/>
        </w:numPr>
      </w:pPr>
      <w:r>
        <w:t>Personas responsables en la RACI y dueños de guardia/recuperación.</w:t>
      </w:r>
    </w:p>
    <w:p>
      <w:pPr>
        <w:pStyle w:val="ListNumber"/>
        <w:numPr>
          <w:ilvl w:val="0"/>
          <w:numId w:val="13"/>
        </w:numPr>
      </w:pPr>
      <w:r>
        <w:t>Aprobación formal del alcance, métricas y cuenta piloto.</w:t>
      </w:r>
    </w:p>
    <w:p>
      <w:pPr>
        <w:pStyle w:val="ListNumber"/>
        <w:numPr>
          <w:ilvl w:val="0"/>
          <w:numId w:val="13"/>
        </w:numPr>
      </w:pPr>
      <w:r>
        <w:t>Presupuesto inicial, organización/facturación GCP y dominios.</w:t>
      </w:r>
    </w:p>
    <w:p>
      <w:pPr>
        <w:pStyle w:val="ListNumber"/>
        <w:numPr>
          <w:ilvl w:val="0"/>
          <w:numId w:val="13"/>
        </w:numPr>
      </w:pPr>
      <w:r>
        <w:t>PoC de Keycloak y política de sesión de campo.</w:t>
      </w:r>
    </w:p>
    <w:p>
      <w:pPr>
        <w:pStyle w:val="ListNumber"/>
        <w:numPr>
          <w:ilvl w:val="0"/>
          <w:numId w:val="13"/>
        </w:numPr>
      </w:pPr>
      <w:r>
        <w:t>Clasificación/retención aprobada y reglas de privacidad.</w:t>
      </w:r>
    </w:p>
    <w:p>
      <w:pPr>
        <w:pStyle w:val="Heading1"/>
      </w:pPr>
      <w:r>
        <w:t>16. Ruta recomendada</w:t>
      </w:r>
    </w:p>
    <w:p>
      <w:r>
        <w:t>La mejor ruta para llegar a una aplicación web funcional es mantener el foco en la rebanada vertical de mantenimiento y desplegar continuamente desde Fase 1.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64"/>
        <w:gridCol w:w="4969"/>
        <w:gridCol w:w="2787"/>
      </w:tblGrid>
      <w:tr>
        <w:trPr>
          <w:cantSplit/>
          <w:tblHeader w:val="true"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Paso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Resultado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Gate de salida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1. Gobierno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RACI, MVP y presupuesto aprobados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Responsables y autoridad explícita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2. Fundación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Monorepo, CI, IaC, URL development y observabilidad mínima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Build/test/deploy reproducible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3. Identidad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Keycloak, BFF, contexto y autorización base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Pruebas negativas y recuperación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4. Núcleo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Cuenta, sucursal, máquina y asociaciones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Separación tenant demostrada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5. Flujo MVP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Orden, checklist, fotos, offline, sincronización e historial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E2E completo en staging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6. Piloto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Producción, usuarios reales, soporte y métricas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Gates de seguridad/privacidad cerrados</w:t>
            </w:r>
          </w:p>
        </w:tc>
      </w:tr>
      <w:tr>
        <w:trPr>
          <w:cantSplit/>
        </w:trPr>
        <w:tc>
          <w:tcPr>
            <w:tcW w:type="dxa" w:w="13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7. Expansión</w:t>
            </w:r>
          </w:p>
        </w:tc>
        <w:tc>
          <w:tcPr>
            <w:tcW w:type="dxa" w:w="496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MVP-2 técnico-sanitario</w:t>
            </w:r>
          </w:p>
        </w:tc>
        <w:tc>
          <w:tcPr>
            <w:tcW w:type="dxa" w:w="278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F0-10, F0-11 y F0-12 cerradas</w:t>
            </w:r>
          </w:p>
        </w:tc>
      </w:tr>
    </w:tbl>
    <w:p>
      <w:pPr>
        <w:pStyle w:val="Heading2"/>
      </w:pPr>
      <w:r>
        <w:t>16.1 Primer incremento de implementación</w:t>
      </w:r>
    </w:p>
    <w:p>
      <w:pPr>
        <w:pStyle w:val="ListBullet"/>
      </w:pPr>
      <w:r>
        <w:t>Crear apps/web y apps/api con endpoint de salud y página de acceso provisional.</w:t>
      </w:r>
    </w:p>
    <w:p>
      <w:pPr>
        <w:pStyle w:val="ListBullet"/>
      </w:pPr>
      <w:r>
        <w:t>Configurar Vitest, Playwright, lint, typecheck y pipeline de CI.</w:t>
      </w:r>
    </w:p>
    <w:p>
      <w:pPr>
        <w:pStyle w:val="ListBullet"/>
      </w:pPr>
      <w:r>
        <w:t>Provisionar development mínimo por Terraform y desplegar por imagen inmutable.</w:t>
      </w:r>
    </w:p>
    <w:p>
      <w:pPr>
        <w:pStyle w:val="ListBullet"/>
      </w:pPr>
      <w:r>
        <w:t>Incorporar contrato OpenAPI, telemetría y manejo de errores desde el primer endpoint.</w:t>
      </w:r>
    </w:p>
    <w:p>
      <w:pPr>
        <w:pStyle w:val="ListBullet"/>
      </w:pPr>
      <w:r>
        <w:t>Usar sólo datos sintéticos hasta que el gate de producción esté aprobado.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cantSplit/>
        </w:trPr>
        <w:tc>
          <w:tcPr>
            <w:tcW w:type="dxa" w:w="9120"/>
            <w:shd w:fill="EA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tcBorders>
              <w:start w:val="single" w:sz="18" w:color="0455C4"/>
            </w:tcBorders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55C4"/>
              </w:rPr>
              <w:t>Criterio de avance</w:t>
              <w:br/>
            </w:r>
            <w:r>
              <w:t>Una URL accesible no es el MVP terminado; es el primer peldaño. La primera versión se considera funcional cuando el flujo de mantenimiento completo —incluido un tramo offline— se demuestra, audita y puede operar con seguridad en la cuenta piloto.</w:t>
            </w:r>
          </w:p>
        </w:tc>
      </w:tr>
    </w:tbl>
    <w:p>
      <w:pPr>
        <w:pStyle w:val="Heading1"/>
      </w:pPr>
      <w:r>
        <w:t>Anexo A. Registro de decisiones vigentes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2"/>
        <w:gridCol w:w="5067"/>
        <w:gridCol w:w="2591"/>
      </w:tblGrid>
      <w:tr>
        <w:trPr>
          <w:cantSplit/>
          <w:tblHeader w:val="true"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ADR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Decisión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shd w:fill="F2F4F7"/>
          </w:tcPr>
          <w:p>
            <w:pPr>
              <w:spacing w:before="0" w:after="0"/>
              <w:ind w:left="0" w:right="0" w:firstLine="0"/>
            </w:pPr>
            <w:r>
              <w:rPr>
                <w:b/>
                <w:color w:val="04144C"/>
              </w:rPr>
              <w:t>Estado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ADR-015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Google Cloud, región México y entornos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Línea base; presupuesto/privacidad pendientes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ADR-016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Stack, Node 24 LTS y Vitest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Aceptada para Fase 1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ADR-017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Keycloak, BFF, 2FA, recuperación y sesiones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ADR-018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SLO, continuidad y retención provisional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ADR-019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Storage, ClamAV, Resend y Mapbox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 de costo/privacidad</w:t>
            </w:r>
          </w:p>
        </w:tc>
      </w:tr>
      <w:tr>
        <w:trPr>
          <w:cantSplit/>
        </w:trPr>
        <w:tc>
          <w:tcPr>
            <w:tcW w:type="dxa" w:w="14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ADR-020</w:t>
            </w:r>
          </w:p>
        </w:tc>
        <w:tc>
          <w:tcPr>
            <w:tcW w:type="dxa" w:w="506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Identificadores y folios</w:t>
            </w:r>
          </w:p>
        </w:tc>
        <w:tc>
          <w:tcPr>
            <w:tcW w:type="dxa" w:w="259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0"/>
              <w:ind w:left="0" w:right="0" w:firstLine="0"/>
            </w:pPr>
            <w:r>
              <w:t>En revisión; validación en Fase 1</w:t>
            </w:r>
          </w:p>
        </w:tc>
      </w:tr>
    </w:tbl>
    <w:p>
      <w:pPr>
        <w:pStyle w:val="Heading1"/>
      </w:pPr>
      <w:r>
        <w:t>Anexo B. Documentos fuente</w:t>
      </w:r>
    </w:p>
    <w:p>
      <w:r>
        <w:t>Este informe sintetiza los archivos versionados del repositorio; ante una diferencia, prevalece la fuente específica más reciente y la decisión aprobada por su responsable.</w:t>
      </w:r>
    </w:p>
    <w:p>
      <w:pPr>
        <w:pStyle w:val="ListBullet"/>
      </w:pPr>
      <w:r>
        <w:t>context/ICE24_OS_Documento_Maestro_Requerimientos_v1.0.md</w:t>
      </w:r>
    </w:p>
    <w:p>
      <w:pPr>
        <w:pStyle w:val="ListBullet"/>
      </w:pPr>
      <w:r>
        <w:t>context/ICE24_OS_PRD_v1.0.md</w:t>
      </w:r>
    </w:p>
    <w:p>
      <w:pPr>
        <w:pStyle w:val="ListBullet"/>
      </w:pPr>
      <w:r>
        <w:t>context/ICE24_OS_TRD_v1.0.md</w:t>
      </w:r>
    </w:p>
    <w:p>
      <w:pPr>
        <w:pStyle w:val="ListBullet"/>
      </w:pPr>
      <w:r>
        <w:t>context/Architecture.md · Database.md · API.md · AppFlow.md · UI_UX.md</w:t>
      </w:r>
    </w:p>
    <w:p>
      <w:pPr>
        <w:pStyle w:val="ListBullet"/>
      </w:pPr>
      <w:r>
        <w:t>context/Implementation_Plan.md · PROJECT_RULES.md · TASKS.md</w:t>
      </w:r>
    </w:p>
    <w:p>
      <w:pPr>
        <w:pStyle w:val="ListBullet"/>
      </w:pPr>
      <w:r>
        <w:t>docs/product/* · docs/decisions/* · docs/backlog/* · docs/tasks/*</w:t>
      </w:r>
    </w:p>
    <w:p>
      <w:pPr>
        <w:pStyle w:val="Heading1"/>
      </w:pPr>
      <w:r>
        <w:t>Anexo C. Notas de interpretación</w:t>
      </w:r>
    </w:p>
    <w:p>
      <w:pPr>
        <w:pStyle w:val="ListBullet"/>
      </w:pPr>
      <w:r>
        <w:t>Las cifras de costo son límites de control, no cotizaciones comerciales.</w:t>
      </w:r>
    </w:p>
    <w:p>
      <w:pPr>
        <w:pStyle w:val="ListBullet"/>
      </w:pPr>
      <w:r>
        <w:t>La capacidad del piloto no es un límite comercial codificado.</w:t>
      </w:r>
    </w:p>
    <w:p>
      <w:pPr>
        <w:pStyle w:val="ListBullet"/>
      </w:pPr>
      <w:r>
        <w:t>Las pantallas son conceptos de diseño; el detalle final se valida con prototipo y usuarios.</w:t>
      </w:r>
    </w:p>
    <w:p>
      <w:pPr>
        <w:pStyle w:val="ListBullet"/>
      </w:pPr>
      <w:r>
        <w:t>Los valores de retención permanecen provisionales hasta dictamen legal y sanitario.</w:t>
      </w:r>
    </w:p>
    <w:p>
      <w:pPr>
        <w:pStyle w:val="ListBullet"/>
      </w:pPr>
      <w:r>
        <w:t>La fecha de estado de Fase 0 en su fuente es 17/08/2026; este documento tiene corte al 18/08/2026.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87A"/>
        <w:sz w:val="16"/>
      </w:rPr>
      <w:t xml:space="preserve">Versión 1.0 · 18/08/2026  |  Página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E687A"/>
        <w:sz w:val="16"/>
      </w:rPr>
      <w:t>ICE24 OS  |  Documentación maestra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455C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455C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4144C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0455C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60" w:line="280" w:lineRule="auto"/>
      <w:ind w:left="1080" w:hanging="36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ICE24 OS — Documentación actual del proyecto</dc:title>
  <dc:subject>Estado actual, arquitectura, alcance y visión funcional del MVP-1</dc:subject>
  <dc:creator>Equipo ICE24 OS</dc:creator>
  <cp:keywords>ICE24 OS, PWA, mantenimiento, Google Cloud, MVP</cp:keywords>
  <dc:description>Documento generado a partir de la documentación versionada del repositorio.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