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Dimensionless Biot number for finite convection</w:t>
            </w:r>
          </w:p>
        </w:tc>
        <w:tc>
          <w:tcPr>
            <w:tcW w:w="2882" w:type="dxa"/>
          </w:tcPr>
          <w:p w14:paraId="2524AFA1" w14:textId="77777777" w:rsidR="00B05D6D" w:rsidRDefault="00000000">
            <w:pPr>
              <w:jc w:val="right"/>
            </w:pPr>
            <w:r>
              <w:rPr>
                <w:rFonts w:eastAsia="Times New Roman"/>
                <w:sz w:val="21"/>
              </w:rPr>
              <w:t>–</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[1,2].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[3,4]. The geometric basis of this claim is Murray's law [5]—under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[5] and the allometric scaling model of West et al. [6] provide the biological basis for branching networks; Bejan's constructal theory [7] generalises it into an engineering design principle. Jing and Song [8]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[3] studied the thermo-hydraulic performance of tree-shaped heat sinks with high branching levels based on a modified Murray's law. Chen et al. [4]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[9] and Wang et al. [10] applied multi-objective topology optimisation to high-heat-flux chip cold-plate design, demonstrating the benefit of non-uniform channel layouts. On the hydraulic side, Kiser et al. [11] measured laminar loss coefficients for tee and wye junctions, and Rennels and </w:t>
      </w:r>
      <w:r>
        <w:rPr>
          <w:rFonts w:eastAsia="Times New Roman"/>
        </w:rPr>
        <w:t>Hudson [12]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[13,14]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[15]),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[16].</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Three-Dimensional Conduction Coupled to a One-Dimensional Coolant March</w:t>
      </w:r>
    </w:p>
    <w:p w14:paraId="639D335A" w14:textId="77777777" w:rsidR="00B05D6D" w:rsidRDefault="00000000">
      <w:pPr>
        <w:spacing w:line="360" w:lineRule="auto"/>
        <w:ind w:firstLine="420"/>
        <w:rPr>
          <w:lang w:eastAsia="zh-CN"/>
        </w:rPr>
      </w:pPr>
      <w:r>
        <w:rPr>
          <w:rFonts w:eastAsia="Times New Roman"/>
        </w:rPr>
        <w:t>Section 4.4 releases the pinned-cell convention in a two-dimensional slab. The same release is carried out here in three dimensions, on a 30×30×10 block (27×27×9 mm at the 0.9 mm pitch). A seven-point Laplacian with Jacobi iteration solves the solid, and each channel column is still held at a single wall temperature; what replaces the pinning is a one-dimensional coolant march along the flow path, T_out = T_in + q_abs/(ρc_pQ_share), with the flow split at every junction in proportion to the number of cells in the downstream subtree. Two masks are compared on the equal-occupancy basis: the tree, and a straightened bank of five full columns. They occupy 150 cells each and both cover all 25 source cells, so the comparison is identical in material and in source coverage and differs only in topology. The model is named for what it solves: three-dimensional conduction coupled to a one-dimensional coolant march. No velocity field is solved, and there is no velocity profile, no entry length and no wall-to-bulk gradient inside the passage; the wall is the bulk, a lumped assumption whose error scales with the passage's own Biot number (small for a sub-millimetre channel). It must not be read as a CFD result, and it is not a substitute for one.</w:t>
      </w:r>
    </w:p>
    <w:p w14:paraId="639D335A" w14:textId="77777777" w:rsidR="00B05D6D" w:rsidRDefault="00000000">
      <w:pPr>
        <w:spacing w:line="360" w:lineRule="auto"/>
        <w:ind w:firstLine="420"/>
        <w:rPr>
          <w:lang w:eastAsia="zh-CN"/>
        </w:rPr>
      </w:pPr>
      <w:r>
        <w:rPr>
          <w:rFonts w:eastAsia="Times New Roman"/>
        </w:rPr>
        <w:t>The march and the solid are coupled by a damped Picard loop (relaxation 0.5, tolerance 10⁻⁷), which converged within 122 outer iterations on every run reported here. Three independent checks are attached to it. First, in the infinite-flow limit the coupled model reproduces the conduction-only three-dimensional solver to 5.6×10⁻⁸ and 3.9×10⁻⁷ for the tree and the straightened mask. Second, the discrete identity P_inj = P_chan + P_base + D closes to 1.6×10⁻⁵ relative over the whole sweep, where D is heat that escapes through the nominally adiabatic top skin because the skin equation weights the z = 9↔z = 8 coupling 2:1. At the reference point D is 0.7% of the injected power for the tree mask and 5.8% for the straightened mask (11.6% in the worst case over the sweep), so the two are compared at equal delivered power, with the absorbed cell distribution renormalised to P_inj, and the raw run is quoted alongside: the reference-point difference is +1.90 °C raw against +1.81 °C renormalised. Third, the marched enthalpy balances the absorbed power to 7.4×10⁻⁹ at the reference point. Because the solver is dimensionless, every difference below is converted with K = q_cell/(kh) = 75.976 K per unit; the −0.00107 units of the conduction-only check are therefore −0.081 °C, the same quantity expressed in the solver's own units.</w:t>
      </w:r>
    </w:p>
    <w:p w14:paraId="639D335A" w14:textId="77777777" w:rsidR="00B05D6D" w:rsidRDefault="00000000">
      <w:pPr>
        <w:spacing w:line="360" w:lineRule="auto"/>
        <w:ind w:firstLine="420"/>
        <w:rPr>
          <w:lang w:eastAsia="zh-CN"/>
        </w:rPr>
      </w:pPr>
      <w:r>
        <w:rPr>
          <w:rFonts w:eastAsia="Times New Roman"/>
        </w:rPr>
        <w:t>At the calibrated flow of 0.7282 L/min (Π = 379.9, 253 W) the wall above the source peaks at 64.71 °C for the tree and 62.89 °C for the straightened bank at Bi = 1, so the tree is 1.81 °C warmer. The mechanism is visible in the coolant. Because the tree's inlet sits at the source centre, its trunk carries the whole 253 W serially through the hotspot, and the coolant temperature at its hottest wall cell rises 12.06 K above the inlet; the straightened bank is fed at the middle row and splits into two half-banks that each carry half the power, so its wall temperature spans only 4.11 K (the bulk rise implied by 253 W at this flow is 5.0 K). The corresponding thermal resistances are 0.1569 and 0.1498 °C/W.</w:t>
      </w:r>
    </w:p>
    <w:p w14:paraId="639D335A" w14:textId="77777777" w:rsidR="00B05D6D" w:rsidRDefault="00000000">
      <w:pPr>
        <w:spacing w:line="360" w:lineRule="auto"/>
        <w:ind w:firstLine="420"/>
        <w:rPr>
          <w:lang w:eastAsia="zh-CN"/>
        </w:rPr>
      </w:pPr>
      <w:r>
        <w:rPr>
          <w:rFonts w:eastAsia="Times New Roman"/>
        </w:rPr>
        <w:t>The sign of the difference is not a property of the geometry alone. In the pinned limit the two masks are level: −0.082 °C at Bi = 0 and −0.081 °C at Bi = 1 (the −0.0011 units quoted elsewhere). At the calibration flow the tree is +1.81 °C warmer at Bi = 1 and +1.74 °C at Bi = 0; at tenfold higher flow (7.28 L/min, Π = 3799) it is −0.066 °C, i.e. marginally cooler; at tenfold lower flow (0.0728 L/min, Π = 38) it is +18.99 °C warmer at Bi = 1 and +11.92 °C at Bi = 0. The base boundary condition is almost irrelevant at the calibration flow—Bi = 0, Bi = 1 and an isothermal base give +1.736, +1.813 and +1.818 °C—so what sets the sign is the ratio of the coolant's temperature excursion to the spreading resistance, that is Π and not Bi. Two consequences follow. The equal-pinned comparisons of Section 5 are infinite-flow statements and must not be read as finite-flow rankings; and the flow rate has to be fixed before a topology is ranked.</w:t>
      </w:r>
    </w:p>
    <w:p w14:paraId="639D335A" w14:textId="77777777" w:rsidR="00B05D6D" w:rsidRDefault="00000000">
      <w:pPr>
        <w:spacing w:line="360" w:lineRule="auto"/>
        <w:ind w:firstLine="420"/>
        <w:rPr>
          <w:lang w:eastAsia="zh-CN"/>
        </w:rPr>
      </w:pPr>
      <w:r>
        <w:rPr>
          <w:rFonts w:eastAsia="Times New Roman"/>
        </w:rPr>
        <w:t>Rebuilding both masks at 40×40×10 (200 = 200 cells) at the same flow preserves the sign and moves the calibration-flow difference from +1.81 to +2.84 °C at Bi = 1 (+1.74 to +2.75 °C at Bi = 0); at tenfold lower flow the same rebuild moves it from +18.99 to +30.45 °C, so the coarser grid under-predicts the penalty. Two limitations bound what this section can claim. First, the wall-to-bulk lumping removes the only length scale a real passage would add, so the absolute temperatures are not design values, and the block used here (27×27×9 mm) is not the 45×45×5 mm slab of Section 4.6, so its thermal resistance must not be compared with that calibration. Second, the exercise is a resolution check rather than a refinement study, and it covers one geometry pair at three flow rates rather than the 24 design points of Section 5; extending it to the whole front, with a solved velocity field and the packaging layer, is left to Section 7.</w:t>
      </w:r>
    </w:p>
    <w:p w14:paraId="7F93E0E5" w14:textId="77777777" w:rsidR="00B05D6D" w:rsidRDefault="00000000">
      <w:pPr>
        <w:keepNext/>
        <w:spacing w:before="240" w:after="120"/>
        <w:rPr>
          <w:lang w:eastAsia="zh-CN"/>
        </w:rPr>
      </w:pPr>
      <w:r>
        <w:rPr>
          <w:rFonts w:eastAsia="Times New Roman"/>
          <w:b/>
          <w:sz w:val="21"/>
        </w:rPr>
        <w:t>4.6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[17]) and the H100 (700 W [18])—with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t>independent of power, as expected for identical geometry and flow rate. The gap between the model thermal resistance and published cold-plate data (0.0069–0.019 °C/W [19])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[15];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the dimensionless Biot number, swept over 10 values from 0 to 100),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[20] (1.0–39.1× [11,12]);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confirms, in a three-dimensional conduction setting, that the tree and the straight channel remain tied (ΔT = −0.0011 lattice units, i.e. −0.081 °C, about 0.14% of the 0.7940-unit (60.3 °C) peak drop against the bare plate). Section 4.5 now releases the pinning in the same three-dimensional block: with the coolant marched along the channels at the calibrated 0.73 L/min the tie does not survive—the tree runs 1.8 °C warmer than the equal-occupancy straightened bank at Bi = 1—and the sign of the difference depends on the flow rate. What remains for follow-up work is the full three-dimensional conjugate framework—adding the packaging layer and a solved velocity field in place of the lumped wall-to-bulk assumption (Section 5.9, limitation (2))—to re-run all 24 design points and establish whether the lattice-is-not-inferior conclusion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lattice units, i.e. −0.081 °C at 1 unit = 75.976 K,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[11] and Rennels and Hudson [12]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[16],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three-dimensional conduction with a one-dimensional coolant march outputs/conjugate_3d_flow.json,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every archived snapshot (currently v1.0.0, v1.0.1, v1.0.2, v1.0.3 and v1.0.4) carries its own version DOI, which is listed on the Zenodo record page. The study protocol - the adjudication criteria R1-R28, their pass thresholds, the invalidated items and the step-by-step remediation record - is carried by the file DEFECT_REMEDIATION_PLAN.md at the repository root, which is distributed with the repository and included in every archived version. This is a computational study and was not pre-registered.</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6ACA9C2E" w14:textId="77777777" w:rsidR="00B05D6D" w:rsidRDefault="00000000">
      <w:pPr>
        <w:spacing w:line="300" w:lineRule="auto"/>
      </w:pPr>
      <w:r>
        <w:rPr>
          <w:rFonts w:eastAsia="Times New Roman"/>
        </w:rPr>
        <w:t>[1] Tuckerman D B, Pease R F W. High-performance heat sinking for VLSI. IEEE Electron Device Lett. 1981;2(5):126–129.</w:t>
      </w:r>
    </w:p>
    <w:p w14:paraId="68F670F0" w14:textId="77777777" w:rsidR="00B05D6D" w:rsidRDefault="00000000">
      <w:pPr>
        <w:spacing w:line="300" w:lineRule="auto"/>
      </w:pPr>
      <w:r>
        <w:rPr>
          <w:rFonts w:eastAsia="Times New Roman"/>
        </w:rPr>
        <w:t>[2] Open Compute Project. OAI system liquid cooling guidelines. https://www.opencompute.org/ (2023).</w:t>
      </w:r>
    </w:p>
    <w:p w14:paraId="30F180D8" w14:textId="77777777" w:rsidR="00B05D6D" w:rsidRDefault="00000000">
      <w:pPr>
        <w:spacing w:line="300" w:lineRule="auto"/>
      </w:pPr>
      <w:r>
        <w:rPr>
          <w:rFonts w:eastAsia="Times New Roman"/>
        </w:rPr>
        <w:lastRenderedPageBreak/>
        <w:t>[3]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[4] Chen K, Chen Y, Zhai K, He Z. Thermo-hydraulic and flow distribution characteristics of bionic fractal Y-shaped bifurcation microchannel heat sink. Processes. 2026;14(19):3181.</w:t>
      </w:r>
    </w:p>
    <w:p w14:paraId="4EB0AC30" w14:textId="77777777" w:rsidR="00B05D6D" w:rsidRDefault="00000000">
      <w:pPr>
        <w:spacing w:line="300" w:lineRule="auto"/>
      </w:pPr>
      <w:r>
        <w:rPr>
          <w:rFonts w:eastAsia="Times New Roman"/>
        </w:rPr>
        <w:t>[5] Murray C D. The physiological principle of minimum work: I. The vascular system and the cost of blood volume. Proc Natl Acad Sci USA. 1926;12(3):207–214.</w:t>
      </w:r>
    </w:p>
    <w:p w14:paraId="346E9631" w14:textId="77777777" w:rsidR="00B05D6D" w:rsidRDefault="00000000">
      <w:pPr>
        <w:spacing w:line="300" w:lineRule="auto"/>
      </w:pPr>
      <w:r>
        <w:rPr>
          <w:rFonts w:eastAsia="Times New Roman"/>
        </w:rPr>
        <w:t>[6] West G B, Brown J H, Enquist B J. A general model for the origin of allometric scaling laws in biology. Science. 1997;276(5309):122–126.</w:t>
      </w:r>
    </w:p>
    <w:p w14:paraId="79D67C61" w14:textId="77777777" w:rsidR="00B05D6D" w:rsidRDefault="00000000">
      <w:pPr>
        <w:spacing w:line="300" w:lineRule="auto"/>
      </w:pPr>
      <w:r>
        <w:rPr>
          <w:rFonts w:eastAsia="Times New Roman"/>
        </w:rPr>
        <w:t>[7] Bejan A. Constructal-theory network of conducting paths for cooling a heat generating volume. Int J Heat Mass Transf. 1997;40(4):799–816.</w:t>
      </w:r>
    </w:p>
    <w:p w14:paraId="487AFABA" w14:textId="77777777" w:rsidR="00B05D6D" w:rsidRDefault="00000000">
      <w:pPr>
        <w:spacing w:line="300" w:lineRule="auto"/>
      </w:pPr>
      <w:r>
        <w:rPr>
          <w:rFonts w:eastAsia="Times New Roman"/>
        </w:rPr>
        <w:t>[8] Jing D, Song S, He L. Reexamination of Murray's law for tree-like rectangular microchannel network with constant channel height. Int J Heat Mass Transf. 2019;128:1344–1350.</w:t>
      </w:r>
    </w:p>
    <w:p w14:paraId="6AF634BB" w14:textId="77777777" w:rsidR="00B05D6D" w:rsidRDefault="00000000">
      <w:pPr>
        <w:spacing w:line="300" w:lineRule="auto"/>
      </w:pPr>
      <w:r>
        <w:rPr>
          <w:rFonts w:eastAsia="Times New Roman"/>
        </w:rPr>
        <w:t>[9]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[10] Wang N, Tian B, Liu L, Li J, Shao S. Integrated topology optimization and microchannel cold plate for chip cooling. Energy Proceedings. 2024;58.</w:t>
      </w:r>
    </w:p>
    <w:p w14:paraId="1C628E5D" w14:textId="77777777" w:rsidR="00B05D6D" w:rsidRDefault="00000000">
      <w:pPr>
        <w:spacing w:line="300" w:lineRule="auto"/>
      </w:pPr>
      <w:r>
        <w:rPr>
          <w:rFonts w:eastAsia="Times New Roman"/>
        </w:rPr>
        <w:t>[11]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[12] Rennels D C, Hudson H M. Pipe Flow: A Practical and Comprehensive Guide. Hoboken: Wiley; 2012.</w:t>
      </w:r>
    </w:p>
    <w:p w14:paraId="1184A082" w14:textId="77777777" w:rsidR="00B05D6D" w:rsidRDefault="00000000">
      <w:pPr>
        <w:spacing w:line="300" w:lineRule="auto"/>
      </w:pPr>
      <w:r>
        <w:rPr>
          <w:rFonts w:eastAsia="Times New Roman"/>
        </w:rPr>
        <w:t>[13]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[14] Bonifaci V, Mehlhorn K, Varma G. Physarum can compute shortest paths. J Theor Biol. 2012;309:121–133.</w:t>
      </w:r>
    </w:p>
    <w:p w14:paraId="7214A09D" w14:textId="77777777" w:rsidR="00B05D6D" w:rsidRDefault="00000000">
      <w:pPr>
        <w:spacing w:line="300" w:lineRule="auto"/>
      </w:pPr>
      <w:r>
        <w:rPr>
          <w:rFonts w:eastAsia="Times New Roman"/>
        </w:rPr>
        <w:t>[15] Glassbrenner C J, Slack G A. Thermal conductivity of silicon and germanium from 3 K to the melting point. Phys Rev. 1964;134(4A):A1058–A1069.</w:t>
      </w:r>
    </w:p>
    <w:p w14:paraId="61F9A6E8" w14:textId="77777777" w:rsidR="00B05D6D" w:rsidRDefault="00000000">
      <w:pPr>
        <w:spacing w:line="300" w:lineRule="auto"/>
      </w:pPr>
      <w:r>
        <w:rPr>
          <w:rFonts w:eastAsia="Times New Roman"/>
        </w:rPr>
        <w:lastRenderedPageBreak/>
        <w:t>[16] Alphacool. Laing DDC-Pump 12V DDC-1RT datasheet. https://www.alphacool.com/ (2026).</w:t>
      </w:r>
    </w:p>
    <w:p w14:paraId="17A7BF78" w14:textId="77777777" w:rsidR="00B05D6D" w:rsidRDefault="00000000">
      <w:pPr>
        <w:spacing w:line="300" w:lineRule="auto"/>
      </w:pPr>
      <w:r>
        <w:rPr>
          <w:rFonts w:eastAsia="Times New Roman"/>
        </w:rPr>
        <w:t>[17] Intel. Intel Core i7-14700K processor specifications. https://www.intel.cn/content/www/cn/zh/products/sku/236783/ (2026).</w:t>
      </w:r>
    </w:p>
    <w:p w14:paraId="19692747" w14:textId="77777777" w:rsidR="00B05D6D" w:rsidRDefault="00000000">
      <w:pPr>
        <w:spacing w:line="300" w:lineRule="auto"/>
      </w:pPr>
      <w:r>
        <w:rPr>
          <w:rFonts w:eastAsia="Times New Roman"/>
        </w:rPr>
        <w:t>[18] NVIDIA. NVIDIA H100 Tensor Core GPU architecture. https://www.nvidia.com/en-us/data-center/h100/ (2026).</w:t>
      </w:r>
    </w:p>
    <w:p w14:paraId="51578E5D" w14:textId="77777777" w:rsidR="00B05D6D" w:rsidRDefault="00000000">
      <w:pPr>
        <w:spacing w:line="300" w:lineRule="auto"/>
      </w:pPr>
      <w:r>
        <w:rPr>
          <w:rFonts w:eastAsia="Times New Roman"/>
        </w:rPr>
        <w:t>[19]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[20]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t>[21] Wu H. Bionic adaptive network: generation, comparison and defect ledger of chip heat-dissipation channel trees [data set and code]. Zenodo. https://doi.org/10.5281/zenodo.23620418 (concept DOI, always resolving to the latest archived version)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4.6)</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5A9098D6" w14:textId="77777777" w:rsidR="00B05D6D" w:rsidRDefault="00000000">
      <w:pPr>
        <w:spacing w:line="360" w:lineRule="auto"/>
        <w:ind w:firstLine="420"/>
      </w:pPr>
      <w:r>
        <w:rPr>
          <w:rFonts w:eastAsia="Times New Roman"/>
          <w:sz w:val="20"/>
        </w:rPr>
        <w:t>python conjugate_3d_flow.py  # 3-D conduction with a 1-D coolant march (Section 4.5)</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