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Heading1"/>
      </w:pPr>
      <w:r>
        <w:rPr>
          <w:rFonts w:ascii="Times New Roman" w:hAnsi="Times New Roman" w:eastAsia="微软雅黑"/>
          <w:b/>
          <w:color w:val="1F3B63"/>
          <w:sz w:val="32"/>
        </w:rPr>
        <w:t>仿生树形微通道散热论文 —— 公式推导与影响因素系统梳理</w:t>
      </w:r>
    </w:p>
    <w:p>
      <w:r>
        <w:rPr>
          <w:rFonts w:ascii="Times New Roman" w:hAnsi="Times New Roman" w:eastAsia="宋体"/>
          <w:b w:val="0"/>
          <w:i/>
          <w:sz w:val="21"/>
        </w:rPr>
        <w:t>本文档目的：把论文的全部公式（含推导）、全部实验的影响因素（按重要性分级）系统性整理出来，回答一个核心问题——这篇论文究竟在干什么。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6"/>
        </w:rPr>
        <w:t>0. 论文在干什么（一句话）</w:t>
      </w:r>
    </w:p>
    <w:p>
      <w:r>
        <w:rPr>
          <w:rFonts w:ascii="Times New Roman" w:hAnsi="Times New Roman" w:eastAsia="宋体"/>
          <w:b w:val="0"/>
          <w:i w:val="0"/>
          <w:sz w:val="21"/>
        </w:rPr>
        <w:t>文献普遍声称「树形仿生微通道优于直通道」，但这个结论高度依赖「材料预算」的设定、结论会随预算反转。本文不提供「树更优」的新证据，而是造一台一键可复现的裁决装置：在明确口径下，树的优势是否成立、在哪里成立、代价多少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6"/>
        </w:rPr>
        <w:t>1. 核心逻辑链（三模块闭环）</w:t>
      </w:r>
    </w:p>
    <w:p>
      <w:r>
        <w:rPr>
          <w:rFonts w:ascii="Times New Roman" w:hAnsi="Times New Roman" w:eastAsia="宋体"/>
          <w:b w:val="0"/>
          <w:i w:val="0"/>
          <w:sz w:val="21"/>
        </w:rPr>
        <w:t>① 口径约束（三重公平：等钉住 / 等材料 / 等总占用） →  ② 热场驱动生长（热传导场 + Prim 贪心 + Murray 立方管径） →  ③ 约束选择（C1 进入芯片 / C2 根半径 / C3 压降 → Pareto 前沿 + ε 膝盖点）</w:t>
      </w:r>
    </w:p>
    <w:p>
      <w:r>
        <w:rPr>
          <w:rFonts w:ascii="Times New Roman" w:hAnsi="Times New Roman" w:eastAsia="宋体"/>
          <w:b w:val="0"/>
          <w:i w:val="0"/>
          <w:sz w:val="21"/>
        </w:rPr>
        <w:t>任何「树更优」的论断，都可以在这个框架内被复现或被证伪。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6"/>
        </w:rPr>
        <w:t>2. 全部公式与完整推导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2.1 Eq.(1) 稳态热传导方程　∇²T = −q/k</w:t>
      </w:r>
    </w:p>
    <w:p>
      <w:r>
        <w:rPr>
          <w:rFonts w:ascii="Times New Roman" w:hAnsi="Times New Roman" w:eastAsia="宋体"/>
          <w:b w:val="0"/>
          <w:i/>
          <w:sz w:val="21"/>
        </w:rPr>
        <w:t>物理来源：傅里叶定律 + 能量守恒。</w:t>
      </w:r>
    </w:p>
    <w:p>
      <w:r>
        <w:rPr>
          <w:rFonts w:ascii="Times New Roman" w:hAnsi="Times New Roman" w:eastAsia="宋体"/>
          <w:b/>
          <w:i w:val="0"/>
          <w:sz w:val="21"/>
        </w:rPr>
        <w:t>第 1 步 傅里叶定律：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q⃗ = −k∇T</w:t>
      </w:r>
    </w:p>
    <w:p>
      <w:r>
        <w:rPr>
          <w:rFonts w:ascii="Times New Roman" w:hAnsi="Times New Roman" w:eastAsia="宋体"/>
          <w:b/>
          <w:i w:val="0"/>
          <w:sz w:val="21"/>
        </w:rPr>
        <w:t>第 2 步 稳态能量守恒（净流出热 = 内热源产生热），散度定理：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∇·q⃗ = q_源</w:t>
      </w:r>
    </w:p>
    <w:p>
      <w:r>
        <w:rPr>
          <w:rFonts w:ascii="Times New Roman" w:hAnsi="Times New Roman" w:eastAsia="宋体"/>
          <w:b/>
          <w:i w:val="0"/>
          <w:sz w:val="21"/>
        </w:rPr>
        <w:t>第 3 步 代入，k 取常数：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∇²T = −q_源/k</w:t>
      </w:r>
    </w:p>
    <w:p>
      <w:r>
        <w:rPr>
          <w:rFonts w:ascii="Times New Roman" w:hAnsi="Times New Roman" w:eastAsia="宋体"/>
          <w:b/>
          <w:i w:val="0"/>
          <w:sz w:val="21"/>
        </w:rPr>
        <w:t>第 4 步 二维直角坐标展开：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∂²T/∂x² + ∂²T/∂y² = −q_源/k</w:t>
      </w:r>
    </w:p>
    <w:p>
      <w:r>
        <w:rPr>
          <w:rFonts w:ascii="Times New Roman" w:hAnsi="Times New Roman" w:eastAsia="宋体"/>
          <w:b/>
          <w:i w:val="0"/>
          <w:sz w:val="21"/>
        </w:rPr>
        <w:t>第 5 步 五点差分（步长 h，格点 (i,j)），二阶中心差分：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∂²T/∂x²|ᵢⱼ = (Tᵢ₊₁ⱼ − 2Tᵢⱼ + Tᵢ₋₁ⱼ)/h² + O(h²)</w:t>
      </w:r>
    </w:p>
    <w:p>
      <w:r>
        <w:rPr>
          <w:rFonts w:ascii="Times New Roman" w:hAnsi="Times New Roman" w:eastAsia="宋体"/>
          <w:b/>
          <w:i w:val="0"/>
          <w:sz w:val="21"/>
        </w:rPr>
        <w:t>代入得五点格式与迭代式：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Tᵢⱼ = (Tᵢ₊₁ⱼ + Tᵢ₋₁ⱼ + Tᵢⱼ₊₁ + Tᵢⱼ₋₁ + q_源·h²/k) / 4</w:t>
      </w:r>
    </w:p>
    <w:p>
      <w:r>
        <w:rPr>
          <w:rFonts w:ascii="Times New Roman" w:hAnsi="Times New Roman" w:eastAsia="宋体"/>
          <w:b/>
          <w:i w:val="0"/>
          <w:sz w:val="21"/>
        </w:rPr>
        <w:t>第 6 步 Jacobi 迭代求解，残差判据 10⁻⁶（论文实测 4513 次收敛）。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2.2 Eq.(2) Murray 定律　r_p³ = Σ r_c³</w:t>
      </w:r>
    </w:p>
    <w:p>
      <w:r>
        <w:rPr>
          <w:rFonts w:ascii="Times New Roman" w:hAnsi="Times New Roman" w:eastAsia="宋体"/>
          <w:b w:val="0"/>
          <w:i/>
          <w:sz w:val="21"/>
        </w:rPr>
        <w:t>物理来源：最小功原理（泵功 + 体积维护代价最小化）。</w:t>
      </w:r>
    </w:p>
    <w:p>
      <w:r>
        <w:rPr>
          <w:rFonts w:ascii="Times New Roman" w:hAnsi="Times New Roman" w:eastAsia="宋体"/>
          <w:b/>
          <w:i w:val="0"/>
          <w:sz w:val="21"/>
        </w:rPr>
        <w:t>第 1 步 单根管代价函数。泵功 = 流量 × 压降，压降用 Poiseuille（Eq.(3)）代入：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W_pump = Q·Δp = Q·8μLQ/(πr⁴) = 8μLQ²/(πr⁴)</w:t>
      </w:r>
    </w:p>
    <w:p>
      <w:r>
        <w:rPr>
          <w:rFonts w:ascii="Times New Roman" w:hAnsi="Times New Roman" w:eastAsia="宋体"/>
          <w:b/>
          <w:i w:val="0"/>
          <w:sz w:val="21"/>
        </w:rPr>
        <w:t>体积维护代价（λ 为拉格朗日乘子）：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W_vol = λ·πr²L</w:t>
      </w:r>
    </w:p>
    <w:p>
      <w:r>
        <w:rPr>
          <w:rFonts w:ascii="Times New Roman" w:hAnsi="Times New Roman" w:eastAsia="宋体"/>
          <w:b/>
          <w:i w:val="0"/>
          <w:sz w:val="21"/>
        </w:rPr>
        <w:t>第 2 步 总代价对 r 最小化：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E(r) = 8μLQ²/(πr⁴) + λπr²L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dE/dr = −32μLQ²/(πr⁵) + 2λπLr = 0</w:t>
      </w:r>
    </w:p>
    <w:p>
      <w:r>
        <w:rPr>
          <w:rFonts w:ascii="Times New Roman" w:hAnsi="Times New Roman" w:eastAsia="宋体"/>
          <w:b/>
          <w:i w:val="0"/>
          <w:sz w:val="21"/>
        </w:rPr>
        <w:t>第 3 步 化简：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Q = (π/4)·√(λ/μ)·r³   ⇒   Q ∝ r³</w:t>
      </w:r>
    </w:p>
    <w:p>
      <w:r>
        <w:rPr>
          <w:rFonts w:ascii="Times New Roman" w:hAnsi="Times New Roman" w:eastAsia="宋体"/>
          <w:b/>
          <w:i w:val="0"/>
          <w:sz w:val="21"/>
        </w:rPr>
        <w:t>第 4 步 分叉点质量守恒：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Q_p = Σ Q_c   ⇒   r_p³ = Σ r_c³</w:t>
      </w:r>
    </w:p>
    <w:p>
      <w:r>
        <w:rPr>
          <w:rFonts w:ascii="Times New Roman" w:hAnsi="Times New Roman" w:eastAsia="宋体"/>
          <w:b/>
          <w:i w:val="0"/>
          <w:sz w:val="21"/>
        </w:rPr>
        <w:t>第 5 步 论文用法 r = r0·flow^(1/3)：因 Q ∝ 下游叶数 flow，且 Q ∝ r³，故 r ∝ flow^(1/3)，叶端（flow=1）半径记为 r0。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2.3 Eq.(3) Poiseuille 定律　Δp = 8μLQ/(πr⁴)</w:t>
      </w:r>
    </w:p>
    <w:p>
      <w:r>
        <w:rPr>
          <w:rFonts w:ascii="Times New Roman" w:hAnsi="Times New Roman" w:eastAsia="宋体"/>
          <w:b w:val="0"/>
          <w:i/>
          <w:sz w:val="21"/>
        </w:rPr>
        <w:t>物理来源：圆柱坐标 Navier–Stokes 方程轴对称层流解。</w:t>
      </w:r>
    </w:p>
    <w:p>
      <w:r>
        <w:rPr>
          <w:rFonts w:ascii="Times New Roman" w:hAnsi="Times New Roman" w:eastAsia="宋体"/>
          <w:b/>
          <w:i w:val="0"/>
          <w:sz w:val="21"/>
        </w:rPr>
        <w:t>第 1 步 假设：半径 R 圆管，不可压缩牛顿流体，稳态充分发展层流 u(r)。</w:t>
      </w:r>
    </w:p>
    <w:p>
      <w:r>
        <w:rPr>
          <w:rFonts w:ascii="Times New Roman" w:hAnsi="Times New Roman" w:eastAsia="宋体"/>
          <w:b/>
          <w:i w:val="0"/>
          <w:sz w:val="21"/>
        </w:rPr>
        <w:t>第 2 步 轴向 N-S 简化（惯性项为零），压降梯度恒定 dp/dz = −Δp/L：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(1/r)·d/dr(r·du/dr) = −Δp/(μL)</w:t>
      </w:r>
    </w:p>
    <w:p>
      <w:r>
        <w:rPr>
          <w:rFonts w:ascii="Times New Roman" w:hAnsi="Times New Roman" w:eastAsia="宋体"/>
          <w:b/>
          <w:i w:val="0"/>
          <w:sz w:val="21"/>
        </w:rPr>
        <w:t>第 3 步 第一次积分（r=0 处 du/dr 有限 → C₁=0）：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du/dr = −Δp·r/(2μL)</w:t>
      </w:r>
    </w:p>
    <w:p>
      <w:r>
        <w:rPr>
          <w:rFonts w:ascii="Times New Roman" w:hAnsi="Times New Roman" w:eastAsia="宋体"/>
          <w:b/>
          <w:i w:val="0"/>
          <w:sz w:val="21"/>
        </w:rPr>
        <w:t>第 4 步 第二次积分（无滑移 r=R 处 u=0），抛物线速度分布：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u(r) = Δp(R² − r²)/(4μL)</w:t>
      </w:r>
    </w:p>
    <w:p>
      <w:r>
        <w:rPr>
          <w:rFonts w:ascii="Times New Roman" w:hAnsi="Times New Roman" w:eastAsia="宋体"/>
          <w:b/>
          <w:i w:val="0"/>
          <w:sz w:val="21"/>
        </w:rPr>
        <w:t>第 5 步 体积流量：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Q = ∫₀ᴿ u(r)·2πr dr = πΔpR⁴/(8μL)</w:t>
      </w:r>
    </w:p>
    <w:p>
      <w:r>
        <w:rPr>
          <w:rFonts w:ascii="Times New Roman" w:hAnsi="Times New Roman" w:eastAsia="宋体"/>
          <w:b/>
          <w:i w:val="0"/>
          <w:sz w:val="21"/>
        </w:rPr>
        <w:t>第 6 步 整理（半径记作 r）：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Δp = 8μLQ/(πr⁴)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2.4 Eq.(4) ε-约束选点</w:t>
      </w:r>
    </w:p>
    <w:p>
      <w:r>
        <w:rPr>
          <w:rFonts w:ascii="Times New Roman" w:hAnsi="Times New Roman" w:eastAsia="宋体"/>
          <w:b w:val="0"/>
          <w:i/>
          <w:sz w:val="21"/>
        </w:rPr>
        <w:t>这是优化方法（非物理推导）。双目标 min (Δp, T_max) 冲突，ε-约束法把一个目标转成约束：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min Δp    s.t.    T_max − T_max* ≤ t_tol</w:t>
      </w:r>
    </w:p>
    <w:p>
      <w:r>
        <w:rPr>
          <w:rFonts w:ascii="Times New Roman" w:hAnsi="Times New Roman" w:eastAsia="宋体"/>
          <w:b w:val="0"/>
          <w:i w:val="0"/>
          <w:sz w:val="21"/>
        </w:rPr>
        <w:t>T_max* 是前沿最冷设计的峰值温度，t_tol 是允许的热学劣化容忍度。遍历 t_tol ∈ {0.01, 0.1, 0.5, 1, 2, 5} K 得到膝盖点轨迹。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2.5 三个派生关系式</w:t>
      </w:r>
    </w:p>
    <w:p>
      <w:r>
        <w:rPr>
          <w:rFonts w:ascii="Times New Roman" w:hAnsi="Times New Roman" w:eastAsia="宋体"/>
          <w:b/>
          <w:i w:val="0"/>
          <w:sz w:val="21"/>
        </w:rPr>
        <w:t>① C2 根半径（根管下游叶数 = N_leaves，代入 r = r0·flow^(1/3)）：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r_root = r0 · N_leaves^(1/3)</w:t>
      </w:r>
    </w:p>
    <w:p>
      <w:r>
        <w:rPr>
          <w:rFonts w:ascii="Times New Roman" w:hAnsi="Times New Roman" w:eastAsia="宋体"/>
          <w:b/>
          <w:i w:val="0"/>
          <w:sz w:val="21"/>
        </w:rPr>
        <w:t>② 叶端半径上限（约束 r_root ≤ p 取等号）：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r0 ≤ p / N_leaves^(1/3)</w:t>
      </w:r>
    </w:p>
    <w:p>
      <w:r>
        <w:rPr>
          <w:rFonts w:ascii="Times New Roman" w:hAnsi="Times New Roman" w:eastAsia="宋体"/>
          <w:b/>
          <w:i w:val="0"/>
          <w:sz w:val="21"/>
        </w:rPr>
        <w:t>③ 对照组单管半径反算（等材料，总截面积 A_tot 均分 n 根等径管）：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r_cell = √(A_tot/n) / √π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2.6 「设而不求」框架的公式</w:t>
      </w:r>
    </w:p>
    <w:p>
      <w:r>
        <w:rPr>
          <w:rFonts w:ascii="Times New Roman" w:hAnsi="Times New Roman" w:eastAsia="宋体"/>
          <w:b w:val="0"/>
          <w:i/>
          <w:sz w:val="21"/>
        </w:rPr>
        <w:t>背景：接头损失系数 K 在层流微通道 Re&lt;150 区间无可靠标定，且树段 L/D≈1 处于入口效应主导区，Poiseuille 假设本身失效。因此不「求」K 的精确单点值，而「设」一个 K 家族，改「求」结论对 K 不确定性的稳健性边界。</w:t>
      </w:r>
    </w:p>
    <w:p>
      <w:r>
        <w:rPr>
          <w:rFonts w:ascii="Times New Roman" w:hAnsi="Times New Roman" w:eastAsia="宋体"/>
          <w:b/>
          <w:i w:val="0"/>
          <w:sz w:val="21"/>
        </w:rPr>
        <w:t>2.6.1 接头局部损失基本式（动压头形式）：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Δp_junction = K · ρv²/2,   v = Q/(πr²)</w:t>
      </w:r>
    </w:p>
    <w:p>
      <w:r>
        <w:rPr>
          <w:rFonts w:ascii="Times New Roman" w:hAnsi="Times New Roman" w:eastAsia="宋体"/>
          <w:b/>
          <w:i w:val="0"/>
          <w:sz w:val="21"/>
        </w:rPr>
        <w:t>2.6.2 K 家族（四个模型，下界 → 上界）：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J0：</w:t>
      </w:r>
      <w:r>
        <w:rPr>
          <w:rFonts w:ascii="Times New Roman" w:hAnsi="Times New Roman" w:eastAsia="宋体"/>
          <w:sz w:val="21"/>
        </w:rPr>
        <w:t>K = 0（纯黏性下界，无接头）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J1：</w:t>
      </w:r>
      <w:r>
        <w:rPr>
          <w:rFonts w:ascii="Times New Roman" w:hAnsi="Times New Roman" w:eastAsia="宋体"/>
          <w:sz w:val="21"/>
        </w:rPr>
        <w:t>K = 0.62 − 0.98s + 0.36s²，s = q_main/q_par（湍流外推下界，已登记误用）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J2：</w:t>
      </w:r>
      <w:r>
        <w:rPr>
          <w:rFonts w:ascii="Times New Roman" w:hAnsi="Times New Roman" w:eastAsia="宋体"/>
          <w:sz w:val="21"/>
        </w:rPr>
        <w:t>K = 1.8（中间参考）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>J3：</w:t>
      </w:r>
      <w:r>
        <w:rPr>
          <w:rFonts w:ascii="Times New Roman" w:hAnsi="Times New Roman" w:eastAsia="宋体"/>
          <w:sz w:val="21"/>
        </w:rPr>
        <w:t>K = min(max(1.8·2300/Re, 1), 300)（层流插值上界）</w:t>
      </w:r>
    </w:p>
    <w:p>
      <w:r>
        <w:rPr>
          <w:rFonts w:ascii="Times New Roman" w:hAnsi="Times New Roman" w:eastAsia="宋体"/>
          <w:i/>
          <w:color w:val="8A3B00"/>
          <w:sz w:val="19"/>
        </w:rPr>
        <w:t>J1 的三处误用：漏第 4 项 0.03(ṁ₂/ṁ₁)⁶、自变量倒置（原式 ṁ₁/ṁ₂=1/s）、超出湍流适用区。</w:t>
      </w:r>
    </w:p>
    <w:p>
      <w:r>
        <w:rPr>
          <w:rFonts w:ascii="Times New Roman" w:hAnsi="Times New Roman" w:eastAsia="宋体"/>
          <w:b/>
          <w:i w:val="0"/>
          <w:sz w:val="21"/>
        </w:rPr>
        <w:t>2.6.3 Kiser CFD 标定关系（说明「为什么不求」）：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K = C/Re_d,   有效区间 Re_d ∈ [1,100]（最大偏差 30%）</w:t>
      </w:r>
    </w:p>
    <w:p>
      <w:r>
        <w:rPr>
          <w:rFonts w:ascii="Times New Roman" w:hAnsi="Times New Roman" w:eastAsia="宋体"/>
          <w:b w:val="0"/>
          <w:i w:val="0"/>
          <w:sz w:val="21"/>
        </w:rPr>
        <w:t>本树 Re 252.5–2438.3 已越出拟合区，故固定 K 网格不严谨。</w:t>
      </w:r>
    </w:p>
    <w:p>
      <w:r>
        <w:rPr>
          <w:rFonts w:ascii="Times New Roman" w:hAnsi="Times New Roman" w:eastAsia="宋体"/>
          <w:b/>
          <w:i w:val="0"/>
          <w:sz w:val="21"/>
        </w:rPr>
        <w:t>2.6.4 β —— 协议 v5 核心自变量（接头/黏性强度比）：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β = KρQ/(16πμL)</w:t>
      </w:r>
    </w:p>
    <w:p>
      <w:r>
        <w:rPr>
          <w:rFonts w:ascii="Times New Roman" w:hAnsi="Times New Roman" w:eastAsia="宋体"/>
          <w:b w:val="0"/>
          <w:i/>
          <w:sz w:val="21"/>
        </w:rPr>
        <w:t>严格推导（β 的物理含义）——β 恰好是接头损失与黏性损失之比：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β = Δp_junction/Δp_viscous = [KρQ²/(2π²r⁴)] / [8μLQ/(πr⁴)] = KρQ/(16πμL)</w:t>
      </w:r>
    </w:p>
    <w:p>
      <w:r>
        <w:rPr>
          <w:rFonts w:ascii="Times New Roman" w:hAnsi="Times New Roman" w:eastAsia="宋体"/>
          <w:b/>
          <w:i w:val="0"/>
          <w:sz w:val="21"/>
        </w:rPr>
        <w:t>2.6.5 含接头损失的 Murray 定律推广（变分 → 幂律被打破）：</w:t>
      </w:r>
    </w:p>
    <w:p>
      <w:r>
        <w:rPr>
          <w:rFonts w:ascii="Times New Roman" w:hAnsi="Times New Roman" w:eastAsia="宋体"/>
          <w:b/>
          <w:i w:val="0"/>
          <w:sz w:val="21"/>
        </w:rPr>
        <w:t>第 1 步 单管总压降：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Δp = 8μLQ/(πr⁴) + KρQ²/(2π²r⁴)</w:t>
      </w:r>
    </w:p>
    <w:p>
      <w:r>
        <w:rPr>
          <w:rFonts w:ascii="Times New Roman" w:hAnsi="Times New Roman" w:eastAsia="宋体"/>
          <w:b/>
          <w:i w:val="0"/>
          <w:sz w:val="21"/>
        </w:rPr>
        <w:t>第 2 步 泵功：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W = Q·Δp = 8μLQ²/(πr⁴) + KρQ³/(2π²r⁴)</w:t>
      </w:r>
    </w:p>
    <w:p>
      <w:r>
        <w:rPr>
          <w:rFonts w:ascii="Times New Roman" w:hAnsi="Times New Roman" w:eastAsia="宋体"/>
          <w:b/>
          <w:i w:val="0"/>
          <w:sz w:val="21"/>
        </w:rPr>
        <w:t>第 3 步 变分（含体积代价 λπr²L）：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dE/dr = −32μLQ²/(πr⁵) − 2KρQ³/(π²r⁵) + 2λπLr = 0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⇒  r⁶ = (16μLQ²/π + KρQ³/π²)/(λπL)</w:t>
      </w:r>
    </w:p>
    <w:p>
      <w:r>
        <w:rPr>
          <w:rFonts w:ascii="Times New Roman" w:hAnsi="Times New Roman" w:eastAsia="宋体"/>
          <w:b/>
          <w:i w:val="0"/>
          <w:sz w:val="21"/>
        </w:rPr>
        <w:t>第 4 步 关键结论：右边含 Q² 与 Q³ 两项混合，说明含接头损失后 Q ∝ r^α 的单一幂律被打破——Murray 定律的「指数」概念本身失效，这正是「设而不求」要把问题从「求 K」转向「求 β 边界」的根本原因。</w:t>
      </w:r>
    </w:p>
    <w:p>
      <w:r>
        <w:rPr>
          <w:rFonts w:ascii="Times New Roman" w:hAnsi="Times New Roman" w:eastAsia="宋体"/>
          <w:b/>
          <w:i w:val="0"/>
          <w:sz w:val="21"/>
        </w:rPr>
        <w:t>2.6.6 α_local —— 有效分叉指数（严格推导，替换原 α_eff）：</w:t>
      </w:r>
    </w:p>
    <w:p>
      <w:r>
        <w:rPr>
          <w:rFonts w:ascii="Times New Roman" w:hAnsi="Times New Roman" w:eastAsia="宋体"/>
          <w:b w:val="0"/>
          <w:i/>
          <w:sz w:val="21"/>
        </w:rPr>
        <w:t>严格推导（对称二分叉 + 常数 K 接头损失的最小功变分）：</w:t>
      </w:r>
    </w:p>
    <w:p>
      <w:r>
        <w:rPr>
          <w:rFonts w:ascii="Times New Roman" w:hAnsi="Times New Roman" w:eastAsia="宋体"/>
          <w:b w:val="0"/>
          <w:i w:val="0"/>
          <w:sz w:val="21"/>
        </w:rPr>
        <w:t>父管（Q₀，r₀）→ 两个相同子管（Q₀/2，r₁），代价 = 泵功 + 体积维护代价：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E = 8μLQ₀²/(πr₀⁴) + KρQ₀³/(2π²r₀⁴) + 4μLQ₀²/(πr₁⁴) + KρQ₀³/(8π²r₁⁴) + λπL(r₀² + 2r₁²)</w:t>
      </w:r>
    </w:p>
    <w:p>
      <w:r>
        <w:rPr>
          <w:rFonts w:ascii="Times New Roman" w:hAnsi="Times New Roman" w:eastAsia="宋体"/>
          <w:b w:val="0"/>
          <w:i w:val="0"/>
          <w:sz w:val="21"/>
        </w:rPr>
        <w:t>∂E/∂r₀ = 0 与 ∂E/∂r₁ = 0，代入 β = KρQ₀/(16πμL)：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r₀⁶/r₁⁶ = 4(1+β)/(1+β/2)</w:t>
      </w:r>
    </w:p>
    <w:p>
      <w:r>
        <w:rPr>
          <w:rFonts w:ascii="Times New Roman" w:hAnsi="Times New Roman" w:eastAsia="宋体"/>
          <w:b w:val="0"/>
          <w:i w:val="0"/>
          <w:sz w:val="21"/>
        </w:rPr>
        <w:t>由 Murray 关系 r₀/r₁ = 2^(1/α) 反推局部有效指数：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α_local = 6·ln2 / ln[4(1+β)/(1+β/2)]</w:t>
      </w:r>
    </w:p>
    <w:p>
      <w:r>
        <w:rPr>
          <w:rFonts w:ascii="Times New Roman" w:hAnsi="Times New Roman" w:eastAsia="宋体"/>
          <w:b/>
          <w:i w:val="0"/>
          <w:sz w:val="21"/>
        </w:rPr>
        <w:t>边界行为：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β → 0：r₀⁶/r₁⁶ → 4，即 r₀/r₁ = 2^(1/3)，α → 3（精确恢复 Murray 指数）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β → ∞：r₀⁶/r₁⁶ → 8，即 r₀/r₁ = 2^(1/2)，α → 2（纯接头主导极限）</w:t>
      </w:r>
    </w:p>
    <w:p>
      <w:r>
        <w:rPr>
          <w:rFonts w:ascii="Times New Roman" w:hAnsi="Times New Roman" w:eastAsia="宋体"/>
          <w:b/>
          <w:i w:val="0"/>
          <w:sz w:val="21"/>
        </w:rPr>
        <w:t>等价简洁式（单管局部对数导数，与上述一致）：</w:t>
      </w:r>
    </w:p>
    <w:p>
      <w:pPr>
        <w:spacing w:before="80" w:after="80"/>
        <w:jc w:val="center"/>
      </w:pPr>
      <w:r>
        <w:rPr>
          <w:rFonts w:ascii="Cambria Math" w:hAnsi="Cambria Math" w:eastAsia="宋体"/>
          <w:sz w:val="22"/>
        </w:rPr>
        <w:t>α_local = 6(1+β)/(2+3β)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β → 0：α = 6/2 = 3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β → ∞：α = 6β/(3β) = 2（单调下降，dα/dβ = −6/(2+3β)² &lt; 0）</w:t>
      </w:r>
    </w:p>
    <w:p>
      <w:r>
        <w:rPr>
          <w:rFonts w:ascii="Times New Roman" w:hAnsi="Times New Roman" w:eastAsia="宋体"/>
          <w:i/>
          <w:color w:val="8A3B00"/>
          <w:sz w:val="19"/>
        </w:rPr>
        <w:t>废弃说明（重要）：原仓库预登记的 α_eff = 3/(1+β/(4(1+β)))（β→∞ 极限 12/5 = 2.4）经严格变分推导与文献查证无法得到支撑——常数 K 接头损失的标准变分 β→∞ 极限为 2，层流 K∝1/Re 极限为 2.5，均非 2.4；文献亦无该闭合式出处，2.4 疑似为「落在生物实测区间 2.0–2.75」而构造的中间值。故本文档以严格推导的 α_local 替换之，α_eff 降级为「待验证猜想」，不得写入论文。</w:t>
      </w:r>
    </w:p>
    <w:p>
      <w:r>
        <w:rPr>
          <w:rFonts w:ascii="Times New Roman" w:hAnsi="Times New Roman" w:eastAsia="宋体"/>
          <w:b/>
          <w:i w:val="0"/>
          <w:sz w:val="21"/>
        </w:rPr>
        <w:t>2.6.7 配套判据（协议 v5）：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 xml:space="preserve">C4′ </w:t>
      </w:r>
      <w:r>
        <w:rPr>
          <w:rFonts w:ascii="Times New Roman" w:hAnsi="Times New Roman" w:eastAsia="宋体"/>
          <w:sz w:val="21"/>
        </w:rPr>
        <w:t>α*(β) 必须单调下降，非单调即实现有 bug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 xml:space="preserve">C5′ </w:t>
      </w:r>
      <w:r>
        <w:rPr>
          <w:rFonts w:ascii="Times New Roman" w:hAnsi="Times New Roman" w:eastAsia="宋体"/>
          <w:sz w:val="21"/>
        </w:rPr>
        <w:t>β=0 时 α* 必须回到 3.00 ± 0.05（Murray 回归不变式）</w:t>
      </w:r>
    </w:p>
    <w:p>
      <w:pPr>
        <w:pStyle w:val="ListBullet"/>
      </w:pPr>
      <w:r>
        <w:rPr>
          <w:rFonts w:ascii="Times New Roman" w:hAnsi="Times New Roman" w:eastAsia="宋体"/>
          <w:b/>
          <w:sz w:val="21"/>
        </w:rPr>
        <w:t xml:space="preserve">C6′ </w:t>
      </w:r>
      <w:r>
        <w:rPr>
          <w:rFonts w:ascii="Times New Roman" w:hAnsi="Times New Roman" w:eastAsia="宋体"/>
          <w:sz w:val="21"/>
        </w:rPr>
        <w:t>J1/J2/J3 × 伪分叉计/不计 共 6 种组合下，「树 vs 对照」方向必须同号，不同号则结论强制 CONDITIONAL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6"/>
        </w:rPr>
        <w:t>3. 所有实验的影响因素（按重要性分级）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3.1 实验清单（§5）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实验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操纵的变量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b/>
                <w:sz w:val="19"/>
              </w:rPr>
              <w:t>核心结论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单热源对比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拓扑（树 vs 直通道）、等占用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T_max 逐位相同，树压降高 310×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多热源等钉住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拓扑（树 vs 径向）、预算、布局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树比径向低 0.87–4.25°C，压降比最高 49.5×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多热源等总占用（C5）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拓扑（树 vs 径向 vs 格状）、最严口径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格状不劣于树，压降低 2–3 数量级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§5.5.1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等压降材料代价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公平口径（等压降）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树材料是格状几倍到两数量级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§5.5.2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非均匀功率+节距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功率比、节距 pitch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树自适应性有条件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§5.5.3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有限对流边界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hconv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方向不变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§5.5.4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预算不足断开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预算下界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5 芯片 C1 不可行（树断开）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§5.6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约束驱动生成器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C1/C2/C3、ttol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4–10 前沿点，0.1K 省 21% 压降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Fig.4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间距扫描（regime map）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热源间距 d=6–30mm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18"/>
              </w:rPr>
              <w:t>树对径向优势随间距衰减</w:t>
            </w:r>
          </w:p>
        </w:tc>
      </w:tr>
    </w:tbl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3.2 影响因素分级</w:t>
      </w:r>
    </w:p>
    <w:p>
      <w:r>
        <w:rPr>
          <w:rFonts w:ascii="Times New Roman" w:hAnsi="Times New Roman" w:eastAsia="宋体"/>
          <w:b w:val="0"/>
          <w:i/>
          <w:sz w:val="21"/>
        </w:rPr>
        <w:t>分级标准：按「是否改变结论方向」划分——一级改变方向/决定结论是否成立，二级改变优势幅度或适用域边界，三级仅做稳健性验证。</w:t>
      </w:r>
    </w:p>
    <w:p>
      <w:r>
        <w:rPr>
          <w:rFonts w:ascii="Times New Roman" w:hAnsi="Times New Roman" w:eastAsia="宋体"/>
          <w:b/>
          <w:i w:val="0"/>
          <w:color w:val="B00000"/>
          <w:sz w:val="21"/>
        </w:rPr>
        <w:t>一级因素（决定结论方向，反转级）：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对照拓扑类型（直通道 / 径向 / 格状）——树 vs 径向「全胜」，树 vs 格状「全劣」，方向随对照反转。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公平口径（等钉住 / 等材料 / 等总占用）——从「树优」（等钉住）反转到「树劣」（等总占用 C5）。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热源数量（单 / 多）——单热源树无任何优势（源区饱和），多热源才有讨论空间。</w:t>
      </w:r>
    </w:p>
    <w:p>
      <w:r>
        <w:rPr>
          <w:rFonts w:ascii="Times New Roman" w:hAnsi="Times New Roman" w:eastAsia="宋体"/>
          <w:b/>
          <w:i w:val="0"/>
          <w:color w:val="C06000"/>
          <w:sz w:val="21"/>
        </w:rPr>
        <w:t>二级因素（改变优势幅度 / 适用域边界）：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材料预算 b（节点预算 400–1300）——树优势随预算漂移，是全文最核心的「未受控自由参数」。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热源间距 d（6–30mm）——树对径向优势随间距增大而衰减（regime map 的适用域）。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功率分布（均匀 / 非均匀 1:2:3 等）——树的自适应性不是稳健结论，是有条件的。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芯片布局（2/3/4/5）——5 芯片在预算不足时 C1 门拒绝（树无法进入全部 footprint）。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泵扬程约束 C3——决定可行集边界，最冷设计距泵极限仅 1.2–1.7×。</w:t>
      </w:r>
    </w:p>
    <w:p>
      <w:r>
        <w:rPr>
          <w:rFonts w:ascii="Times New Roman" w:hAnsi="Times New Roman" w:eastAsia="宋体"/>
          <w:b/>
          <w:i w:val="0"/>
          <w:color w:val="006000"/>
          <w:sz w:val="21"/>
        </w:rPr>
        <w:t>三级因素（稳健性验证，不改变方向）：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边界条件（理想定温汇 / 有限对流 hconv）——只抬升整体温度水平，不改变方向。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流量（钉住 / 有限流量共轭）——钉住是 Q→∞ 极限，有限流量不改变方向。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接头损失 K——只会进一步拉大树 vs 对照的压降差距（强化负结论）。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网格分辨率——数值正确性验证，不影响方向。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冷却液物性（黏度取 20°C、温度口径）——引入约 12.6% 压降偏差，不影响方向。</w:t>
      </w:r>
    </w:p>
    <w:p>
      <w:pPr>
        <w:pStyle w:val="Heading3"/>
      </w:pPr>
      <w:r>
        <w:rPr>
          <w:rFonts w:ascii="Times New Roman" w:hAnsi="Times New Roman" w:eastAsia="微软雅黑"/>
          <w:b/>
          <w:color w:val="2E4E7E"/>
          <w:sz w:val="23"/>
        </w:rPr>
        <w:t>3.3 影响因素 → 结论方向的映射（核心洞察）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结论「树优」是否成立？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对照 = 径向 且 口径 = 等钉住      →  树优（但代价是压降高 1–2 数量级）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对照 = 径向 且 口径 = 等总占用 C5 →  树仅微优（0.2–0.7°C），压降高 3 个数量级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对照 = 格状 且 口径 = 等总占用    →  树被支配（温度持平或更差，压降低 3 个数量级）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热源 = 单热源                     →  树无优势（源区饱和，拓扑无优化空间）</w:t>
      </w:r>
    </w:p>
    <w:p>
      <w:pPr>
        <w:pStyle w:val="Heading2"/>
      </w:pPr>
      <w:r>
        <w:rPr>
          <w:rFonts w:ascii="Times New Roman" w:hAnsi="Times New Roman" w:eastAsia="微软雅黑"/>
          <w:b/>
          <w:color w:val="1F3B63"/>
          <w:sz w:val="26"/>
        </w:rPr>
        <w:t>4. 系统结论：论文究竟在干什么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它不是一篇「树更优」的论文，而是一篇「树什么时候更优、以及代价是多少」的裁决装置论文。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它的可交付物是两个方法贡献：三重公平比较协议（解决「预算驱动的结论反转」）+ 约束驱动生成器（把预算从自由参数改成约束求解）。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它的全部核心结论都是「条件化」的：树优不优，取决于「对照类型 + 公平口径 + 热源数量」这三个一级因素，而不是树本身。</w:t>
      </w:r>
    </w:p>
    <w:p>
      <w:pPr>
        <w:pStyle w:val="ListBullet"/>
      </w:pPr>
      <w:r>
        <w:rPr>
          <w:rFonts w:ascii="Times New Roman" w:hAnsi="Times New Roman" w:eastAsia="宋体"/>
          <w:sz w:val="21"/>
        </w:rPr>
        <w:t>它的硬伤不是公式（公式都是现成的物理定律），而是：① 叙事停留在「负结果」，没有把「有效适用域」升维成正面 impact；② 英文版与中文版结构分叉（「设而不求 + 协议 v5」只在中文版）；③ α_eff 的 2.4 极限无推导支撑（已替换为 α_local = 6(1+β)/(2+3β)）；④ 3D 图已做但「未来工作」文字仍说没做。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/>
          <w:color w:val="808080"/>
          <w:sz w:val="21"/>
        </w:rPr>
        <w:t>本文档由公式推导 + 影响因素系统梳理生成，作为理解论文全貌与后续补强重投的基准参考。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