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20"/>
      </w:pPr>
      <w:r>
        <w:rPr>
          <w:b/>
        </w:rPr>
        <w:t>A Fair Comparison Framework for Bionic Tree-Shaped Microchannel Chip Cooling Networks and a Constraint-Driven Topology Generator</w:t>
      </w:r>
    </w:p>
    <w:p>
      <w:pPr>
        <w:spacing w:after="240"/>
      </w:pPr>
      <w:r>
        <w:rPr>
          <w:i/>
        </w:rPr>
        <w:t>[TO BE FILLED: author names and affiliations]</w:t>
      </w:r>
    </w:p>
    <w:p>
      <w:pPr>
        <w:spacing w:after="120"/>
      </w:pPr>
      <w:r>
        <w:rPr>
          <w:b/>
        </w:rPr>
        <w:t>Highlights</w:t>
      </w:r>
    </w:p>
    <w:p>
      <w:pPr>
        <w:spacing w:after="120"/>
        <w:ind w:left="360" w:hanging="360"/>
      </w:pPr>
      <w:r>
        <w:t>• A three-tier fair-comparison protocol is proposed for bionic tree networks.</w:t>
      </w:r>
    </w:p>
    <w:p>
      <w:pPr>
        <w:spacing w:after="120"/>
        <w:ind w:left="360" w:hanging="360"/>
      </w:pPr>
      <w:r>
        <w:t>• The tree's node budget is derived from physical constraints instead of a free input.</w:t>
      </w:r>
    </w:p>
    <w:p>
      <w:pPr>
        <w:spacing w:after="120"/>
        <w:ind w:left="360" w:hanging="360"/>
      </w:pPr>
      <w:r>
        <w:t>• The tree's advantage does not survive the strictest equal-occupied-cell basis.</w:t>
      </w:r>
    </w:p>
    <w:p>
      <w:pPr>
        <w:spacing w:after="120"/>
        <w:ind w:left="360" w:hanging="360"/>
      </w:pPr>
      <w:r>
        <w:t>• Neglected inlet and junction losses penalise the tree more than the 11% correction.</w:t>
      </w:r>
    </w:p>
    <w:p>
      <w:pPr>
        <w:spacing w:after="120"/>
        <w:ind w:left="360" w:hanging="360"/>
      </w:pPr>
      <w:r>
        <w:t>• Saturation pins the peak; the fourth-power Poiseuille penalty drives pressure drop.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