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this claim is Murray's law [1]—under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[1] and the allometric scaling model of West et al. [4] provide the biological basis for branching networks; Bejan's constructal theory [3] generalises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[10] and Wang et al. [11] applied multi-objective topology optimisation to high-heat-flux chip cold-plate design, demonstrating the benefit of non-uniform channel layouts. On the hydraulic side, Kiser et al. [15] measured laminar loss coefficients for tee and wye junctions, and Rennels and </w:t>
      </w:r>
      <w:r>
        <w:rPr>
          <w:rFonts w:eastAsia="Times New Roman"/>
        </w:rPr>
        <w:lastRenderedPageBreak/>
        <w:t>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[5,6]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[14]),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[20].</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lastRenderedPageBreak/>
        <w:t>independent of power, as expected for identical geometry and flow rate. The gap between the model thermal resistance and published cold-plate data (0.0069–0.019 °C/W [18])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[14];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°C,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multi-source sweep outputs/multi_source_summary.json, finite convection outputs/robin_boundary_summary.json, pitch sweeps outputs/lattice_pitch_summary.json and outputs/unequal_power_pitch_summary.json, real-unit calibration outputs/</w:t>
      </w:r>
      <w:r>
        <w:rPr>
          <w:rFonts w:eastAsia="Times New Roman"/>
          <w:i/>
        </w:rPr>
        <w:t>real_unit_calibration.txt</w:t>
      </w:r>
      <w:r>
        <w:rPr>
          <w:rFonts w:eastAsia="Times New Roman"/>
        </w:rPr>
        <w:t>, and genetic-algorithm evidence outputs/</w:t>
      </w:r>
      <w:r>
        <w:rPr>
          <w:rFonts w:eastAsia="Times New Roman"/>
          <w:i/>
        </w:rPr>
        <w:t>ga_evidence.json</w:t>
      </w:r>
      <w:r>
        <w:rPr>
          <w:rFonts w:eastAsia="Times New Roman"/>
        </w:rPr>
        <w:t>. Reproduction commands are given in the Appendix.</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5F294E60" w14:textId="77777777" w:rsidR="00B05D6D" w:rsidRDefault="00000000">
      <w:pPr>
        <w:keepNext/>
        <w:spacing w:before="480" w:after="240"/>
        <w:jc w:val="center"/>
      </w:pPr>
      <w:r>
        <w:rPr>
          <w:rFonts w:eastAsia="Times New Roman"/>
          <w:b/>
          <w:sz w:val="30"/>
        </w:rPr>
        <w:t xml:space="preserve">References </w:t>
      </w:r>
    </w:p>
    <w:p w14:paraId="4EB0AC30" w14:textId="77777777" w:rsidR="00B05D6D" w:rsidRDefault="00000000">
      <w:pPr>
        <w:spacing w:line="300" w:lineRule="auto"/>
      </w:pPr>
      <w:r>
        <w:rPr>
          <w:rFonts w:eastAsia="Times New Roman"/>
        </w:rPr>
        <w:t>[1] Murray C D. The physiological principle of minimum work: I. The vascular system and the cost of blood volume. Proc Natl Acad Sci USA. 1926;12(3):207–214.</w:t>
      </w:r>
    </w:p>
    <w:p w14:paraId="6ACA9C2E" w14:textId="77777777" w:rsidR="00B05D6D" w:rsidRDefault="00000000">
      <w:pPr>
        <w:spacing w:line="300" w:lineRule="auto"/>
      </w:pPr>
      <w:r>
        <w:rPr>
          <w:rFonts w:eastAsia="Times New Roman"/>
        </w:rPr>
        <w:t>[2] Tuckerman D B, Pease R F W. High-performance heat sinking for VLSI. IEEE Electron Device Lett. 1981;2(5):126–129.</w:t>
      </w:r>
    </w:p>
    <w:p w14:paraId="79D67C61" w14:textId="77777777" w:rsidR="00B05D6D" w:rsidRDefault="00000000">
      <w:pPr>
        <w:spacing w:line="300" w:lineRule="auto"/>
      </w:pPr>
      <w:r>
        <w:rPr>
          <w:rFonts w:eastAsia="Times New Roman"/>
        </w:rPr>
        <w:t>[3] Bejan A. Constructal-theory network of conducting paths for cooling a heat generating volume. Int J Heat Mass Transf. 1997;40(4):799–816.</w:t>
      </w:r>
    </w:p>
    <w:p w14:paraId="346E9631" w14:textId="77777777" w:rsidR="00B05D6D" w:rsidRDefault="00000000">
      <w:pPr>
        <w:spacing w:line="300" w:lineRule="auto"/>
      </w:pPr>
      <w:r>
        <w:rPr>
          <w:rFonts w:eastAsia="Times New Roman"/>
        </w:rPr>
        <w:t>[4] West G B, Brown J H, Enquist B J. A general model for the origin of allometric scaling laws in biology. Science. 1997;276(5309):122–126.</w:t>
      </w:r>
    </w:p>
    <w:p w14:paraId="1184A082" w14:textId="77777777" w:rsidR="00B05D6D" w:rsidRDefault="00000000">
      <w:pPr>
        <w:spacing w:line="300" w:lineRule="auto"/>
      </w:pPr>
      <w:r>
        <w:rPr>
          <w:rFonts w:eastAsia="Times New Roman"/>
        </w:rPr>
        <w:t>[5]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[6] Bonifaci V, Mehlhorn K, Varma G. Physarum can compute shortest paths. J Theor Biol. 2012;309:121–133.</w:t>
      </w:r>
    </w:p>
    <w:p w14:paraId="487AFABA" w14:textId="77777777" w:rsidR="00B05D6D" w:rsidRDefault="00000000">
      <w:pPr>
        <w:spacing w:line="300" w:lineRule="auto"/>
      </w:pPr>
      <w:r>
        <w:rPr>
          <w:rFonts w:eastAsia="Times New Roman"/>
        </w:rPr>
        <w:t>[7] Jing D, Song S, He L. Reexamination of Murray's law for tree-like rectangular microchannel network with constant channel height. Int J Heat Mass Transf. 2019;128:1344–1350.</w:t>
      </w:r>
    </w:p>
    <w:p w14:paraId="30F180D8" w14:textId="77777777" w:rsidR="00B05D6D" w:rsidRDefault="00000000">
      <w:pPr>
        <w:spacing w:line="300" w:lineRule="auto"/>
      </w:pPr>
      <w:r>
        <w:rPr>
          <w:rFonts w:eastAsia="Times New Roman"/>
        </w:rPr>
        <w:lastRenderedPageBreak/>
        <w:t>[8]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[9] Chen K, Chen Y, Zhai K, He Z. Thermo-hydraulic and flow distribution characteristics of bionic fractal Y-shaped bifurcation microchannel heat sink. Processes. 2026;14(19):3181.</w:t>
      </w:r>
    </w:p>
    <w:p w14:paraId="6AF634BB" w14:textId="77777777" w:rsidR="00B05D6D" w:rsidRDefault="00000000">
      <w:pPr>
        <w:spacing w:line="300" w:lineRule="auto"/>
      </w:pPr>
      <w:r>
        <w:rPr>
          <w:rFonts w:eastAsia="Times New Roman"/>
        </w:rPr>
        <w:t>[10]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[11] Wang N, Tian B, Liu L, Li J, Shao S. Integrated topology optimization and microchannel cold plate for chip cooling. Energy Proceedings. 2024;58.</w:t>
      </w:r>
    </w:p>
    <w:p w14:paraId="17A7BF78" w14:textId="77777777" w:rsidR="00B05D6D" w:rsidRDefault="00000000">
      <w:pPr>
        <w:spacing w:line="300" w:lineRule="auto"/>
      </w:pPr>
      <w:r>
        <w:rPr>
          <w:rFonts w:eastAsia="Times New Roman"/>
        </w:rPr>
        <w:t>[12] Intel. Intel Core i7-14700K processor specifications. https://www.intel.cn/content/www/cn/zh/products/sku/236783/ (2026).</w:t>
      </w:r>
    </w:p>
    <w:p w14:paraId="19692747" w14:textId="77777777" w:rsidR="00B05D6D" w:rsidRDefault="00000000">
      <w:pPr>
        <w:spacing w:line="300" w:lineRule="auto"/>
      </w:pPr>
      <w:r>
        <w:rPr>
          <w:rFonts w:eastAsia="Times New Roman"/>
        </w:rPr>
        <w:t>[13] NVIDIA. NVIDIA H100 Tensor Core GPU architecture. https://www.nvidia.com/en-us/data-center/h100/ (2026).</w:t>
      </w:r>
    </w:p>
    <w:p w14:paraId="7214A09D" w14:textId="77777777" w:rsidR="00B05D6D" w:rsidRDefault="00000000">
      <w:pPr>
        <w:spacing w:line="300" w:lineRule="auto"/>
      </w:pPr>
      <w:r>
        <w:rPr>
          <w:rFonts w:eastAsia="Times New Roman"/>
        </w:rPr>
        <w:t>[14] Glassbrenner C J, Slack G A. Thermal conductivity of silicon and germanium from 3 K to the melting point. Phys Rev. 1964;134(4A):A1058–A1069.</w:t>
      </w:r>
    </w:p>
    <w:p w14:paraId="1C628E5D" w14:textId="77777777" w:rsidR="00B05D6D" w:rsidRDefault="00000000">
      <w:pPr>
        <w:spacing w:line="300" w:lineRule="auto"/>
      </w:pPr>
      <w:r>
        <w:rPr>
          <w:rFonts w:eastAsia="Times New Roman"/>
        </w:rPr>
        <w:t>[15]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[16] Rennels D C, Hudson H M. Pipe Flow: A Practical and Comprehensive Guide. Hoboken: Wiley; 2012.</w:t>
      </w:r>
    </w:p>
    <w:p w14:paraId="68F670F0" w14:textId="77777777" w:rsidR="00B05D6D" w:rsidRDefault="00000000">
      <w:pPr>
        <w:spacing w:line="300" w:lineRule="auto"/>
      </w:pPr>
      <w:r>
        <w:rPr>
          <w:rFonts w:eastAsia="Times New Roman"/>
        </w:rPr>
        <w:t>[17] Open Compute Project. OAI system liquid cooling guidelines. https://www.opencompute.org/ (2023).</w:t>
      </w:r>
    </w:p>
    <w:p w14:paraId="51578E5D" w14:textId="77777777" w:rsidR="00B05D6D" w:rsidRDefault="00000000">
      <w:pPr>
        <w:spacing w:line="300" w:lineRule="auto"/>
      </w:pPr>
      <w:r>
        <w:rPr>
          <w:rFonts w:eastAsia="Times New Roman"/>
        </w:rPr>
        <w:t>[18]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[19]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lastRenderedPageBreak/>
        <w:t>[20] Alphacool. Laing DDC-Pump 12V DDC-1RT datasheet. https://www.alphacool.com/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4.5)</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