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jc w:val="center"/>
        <w:rPr>
          <w:rFonts w:ascii="Arial" w:hAnsi="Arial" w:cs="Arial" w:eastAsia="Arial"/>
        </w:rPr>
      </w:pPr>
      <w:bookmarkStart w:colFirst="0" w:colLast="0" w:name="_gjdgxs" w:id="0"/>
      <w:bookmarkEnd w:id="0"/>
      <w:r>
        <w:t xml:space="preserve">Botium Toys : évaluation des risques</w:t>
      </w:r>
    </w:p>
    <w:p w14:paraId="00000002">
      <w:pPr>
        <w:pStyle w:val="Heading2"/>
        <w:rPr>
          <w:rFonts w:ascii="Arial" w:hAnsi="Arial" w:cs="Arial" w:eastAsia="Arial"/>
        </w:rPr>
      </w:pPr>
      <w:bookmarkStart w:colFirst="0" w:colLast="0" w:name="_30j0zll" w:id="1"/>
      <w:bookmarkEnd w:id="1"/>
      <w:r>
        <w:t xml:space="preserve">Ressources numériques actuelles</w:t>
      </w:r>
    </w:p>
    <w:p w14:paraId="00000003">
      <w:pPr>
        <w:rPr>
          <w:rFonts w:ascii="Arial" w:hAnsi="Arial" w:cs="Arial" w:eastAsia="Arial"/>
          <w:sz w:val="24"/>
        </w:rPr>
        <w:pStyle w:val="P68B1DB1-Normal1"/>
      </w:pPr>
      <w:r>
        <w:t xml:space="preserve">Les ressources numériques gérées par le service informatique sont les suivantes : </w:t>
      </w:r>
    </w:p>
    <w:p w14:paraId="00000004">
      <w:pPr>
        <w:numPr>
          <w:ilvl w:val="0"/>
          <w:numId w:val="1"/>
        </w:numPr>
        <w:ind w:left="720" w:hanging="360"/>
        <w:rPr>
          <w:rFonts w:ascii="Arial" w:hAnsi="Arial" w:cs="Arial" w:eastAsia="Arial"/>
          <w:sz w:val="24"/>
        </w:rPr>
        <w:pStyle w:val="P68B1DB1-Normal1"/>
      </w:pPr>
      <w:r>
        <w:t xml:space="preserve">Équipements sur place pour les besoins de l'entreprise </w:t>
      </w:r>
    </w:p>
    <w:p w14:paraId="00000005">
      <w:pPr>
        <w:numPr>
          <w:ilvl w:val="0"/>
          <w:numId w:val="1"/>
        </w:numPr>
        <w:ind w:left="720" w:hanging="360"/>
        <w:rPr>
          <w:rFonts w:ascii="Arial" w:hAnsi="Arial" w:cs="Arial" w:eastAsia="Arial"/>
          <w:sz w:val="24"/>
        </w:rPr>
        <w:pStyle w:val="P68B1DB1-Normal1"/>
      </w:pPr>
      <w:r>
        <w:t xml:space="preserve">Équipements des employés : appareils des utilisateurs (ordinateurs de bureau/portables, smartphones), postes de travail à distance, casques, câbles, claviers, souris, stations d'accueil, caméras de surveillance, etc.</w:t>
      </w:r>
    </w:p>
    <w:p w14:paraId="00000006">
      <w:pPr>
        <w:numPr>
          <w:ilvl w:val="0"/>
          <w:numId w:val="1"/>
        </w:numPr>
        <w:ind w:left="720" w:hanging="360"/>
        <w:rPr>
          <w:rFonts w:ascii="Arial" w:hAnsi="Arial" w:cs="Arial" w:eastAsia="Arial"/>
          <w:sz w:val="24"/>
        </w:rPr>
        <w:pStyle w:val="P68B1DB1-Normal1"/>
      </w:pPr>
      <w:r>
        <w:t xml:space="preserve">Gestion de systèmes, de logiciels et de services : comptabilité, télécommunications, bases de données, sécurité, e-commerce et gestion des stocks</w:t>
      </w:r>
    </w:p>
    <w:p w14:paraId="00000007">
      <w:pPr>
        <w:numPr>
          <w:ilvl w:val="0"/>
          <w:numId w:val="1"/>
        </w:numPr>
        <w:ind w:left="720" w:hanging="360"/>
        <w:rPr>
          <w:rFonts w:ascii="Arial" w:hAnsi="Arial" w:cs="Arial" w:eastAsia="Arial"/>
          <w:sz w:val="24"/>
        </w:rPr>
        <w:pStyle w:val="P68B1DB1-Normal1"/>
      </w:pPr>
      <w:r>
        <w:t xml:space="preserve">Accès Internet</w:t>
      </w:r>
    </w:p>
    <w:p w14:paraId="00000008">
      <w:pPr>
        <w:numPr>
          <w:ilvl w:val="0"/>
          <w:numId w:val="1"/>
        </w:numPr>
        <w:ind w:left="720" w:hanging="360"/>
        <w:rPr>
          <w:rFonts w:ascii="Arial" w:hAnsi="Arial" w:cs="Arial" w:eastAsia="Arial"/>
          <w:sz w:val="24"/>
        </w:rPr>
        <w:pStyle w:val="P68B1DB1-Normal1"/>
      </w:pPr>
      <w:r>
        <w:t xml:space="preserve">Réseau interne</w:t>
      </w:r>
    </w:p>
    <w:p w14:paraId="00000009">
      <w:pPr>
        <w:numPr>
          <w:ilvl w:val="0"/>
          <w:numId w:val="1"/>
        </w:numPr>
        <w:ind w:left="720" w:hanging="360"/>
        <w:rPr>
          <w:rFonts w:ascii="Arial" w:hAnsi="Arial" w:cs="Arial" w:eastAsia="Arial"/>
          <w:sz w:val="24"/>
        </w:rPr>
        <w:pStyle w:val="P68B1DB1-Normal1"/>
      </w:pPr>
      <w:r>
        <w:t xml:space="preserve">Gestion des accès des fournisseurs</w:t>
      </w:r>
    </w:p>
    <w:p w14:paraId="0000000A">
      <w:pPr>
        <w:numPr>
          <w:ilvl w:val="0"/>
          <w:numId w:val="1"/>
        </w:numPr>
        <w:ind w:left="720" w:hanging="360"/>
        <w:rPr>
          <w:rFonts w:ascii="Arial" w:hAnsi="Arial" w:cs="Arial" w:eastAsia="Arial"/>
          <w:sz w:val="24"/>
        </w:rPr>
        <w:pStyle w:val="P68B1DB1-Normal1"/>
      </w:pPr>
      <w:r>
        <w:t xml:space="preserve">Services d'hébergement de centres de données </w:t>
      </w:r>
    </w:p>
    <w:p w14:paraId="0000000B">
      <w:pPr>
        <w:numPr>
          <w:ilvl w:val="0"/>
          <w:numId w:val="1"/>
        </w:numPr>
        <w:ind w:left="720" w:hanging="360"/>
        <w:rPr>
          <w:rFonts w:ascii="Arial" w:hAnsi="Arial" w:cs="Arial" w:eastAsia="Arial"/>
          <w:sz w:val="24"/>
        </w:rPr>
        <w:pStyle w:val="P68B1DB1-Normal1"/>
      </w:pPr>
      <w:r>
        <w:t xml:space="preserve">Conservation et stockage des données</w:t>
      </w:r>
    </w:p>
    <w:p w14:paraId="0000000C">
      <w:pPr>
        <w:numPr>
          <w:ilvl w:val="0"/>
          <w:numId w:val="1"/>
        </w:numPr>
        <w:ind w:left="720" w:hanging="360"/>
        <w:rPr>
          <w:rFonts w:ascii="Arial" w:hAnsi="Arial" w:cs="Arial" w:eastAsia="Arial"/>
          <w:sz w:val="24"/>
        </w:rPr>
        <w:pStyle w:val="P68B1DB1-Normal1"/>
      </w:pPr>
      <w:r>
        <w:t xml:space="preserve">Lecteurs de badge</w:t>
      </w:r>
    </w:p>
    <w:p w14:paraId="0000000D">
      <w:pPr>
        <w:numPr>
          <w:ilvl w:val="0"/>
          <w:numId w:val="1"/>
        </w:numPr>
        <w:ind w:left="720" w:hanging="360"/>
        <w:rPr>
          <w:rFonts w:ascii="Arial" w:hAnsi="Arial" w:cs="Arial" w:eastAsia="Arial"/>
          <w:sz w:val="24"/>
        </w:rPr>
        <w:pStyle w:val="P68B1DB1-Normal1"/>
      </w:pPr>
      <w:r>
        <w:t xml:space="preserve">Maintenance des systèmes anciens : systèmes en fin de vie qui nécessitent une surveillance humaine </w:t>
      </w:r>
    </w:p>
    <w:p w14:paraId="0000000E">
      <w:pPr>
        <w:pStyle w:val="Heading2"/>
        <w:rPr>
          <w:rFonts w:ascii="Arial" w:hAnsi="Arial" w:cs="Arial" w:eastAsia="Arial"/>
        </w:rPr>
      </w:pPr>
      <w:bookmarkStart w:colFirst="0" w:colLast="0" w:name="_1fob9te" w:id="2"/>
      <w:bookmarkEnd w:id="2"/>
      <w:r>
        <w:t xml:space="preserve">Description des risques</w:t>
      </w:r>
    </w:p>
    <w:p w14:paraId="0000000F">
      <w:pPr>
        <w:rPr>
          <w:rFonts w:ascii="Arial" w:hAnsi="Arial" w:cs="Arial" w:eastAsia="Arial"/>
        </w:rPr>
      </w:pPr>
      <w:r>
        <w:rPr>
          <w:sz w:val="24"/>
        </w:rPr>
        <w:t xml:space="preserve">Actuellement, la gestion des ressources est inadéquate. Par ailleurs, Botium Toys n'a pas mis en place les contrôles appropriés et peut ne pas être en conformité avec les réglementations et les normes américaines et internationales.</w:t>
      </w:r>
      <w:r>
        <w:t xml:space="preserve"> </w:t>
      </w:r>
    </w:p>
    <w:p w14:paraId="00000010">
      <w:pPr>
        <w:pStyle w:val="Heading2"/>
        <w:rPr>
          <w:rFonts w:ascii="Arial" w:hAnsi="Arial" w:cs="Arial" w:eastAsia="Arial"/>
        </w:rPr>
      </w:pPr>
      <w:bookmarkStart w:colFirst="0" w:colLast="0" w:name="_3znysh7" w:id="3"/>
      <w:bookmarkEnd w:id="3"/>
      <w:r>
        <w:t xml:space="preserve">Les bonnes pratiques en matière de contrôle</w:t>
      </w:r>
    </w:p>
    <w:p w14:paraId="00000011">
      <w:pPr>
        <w:rPr>
          <w:rFonts w:ascii="Arial" w:hAnsi="Arial" w:cs="Arial" w:eastAsia="Arial"/>
          <w:sz w:val="24"/>
        </w:rPr>
        <w:pStyle w:val="P68B1DB1-Normal1"/>
      </w:pPr>
      <w:r>
        <w:t xml:space="preserve">La première des cinq fonctions du NIST CSF est Identifier. Botium Toys devra se consacrer à la gestion des ressources. De plus, ils devront déterminer l'impact de la perte de ressources existantes, notamment des systèmes, sur la continuité des activités.</w:t>
      </w:r>
    </w:p>
    <w:p w14:paraId="00000012">
      <w:pPr>
        <w:pStyle w:val="Heading2"/>
        <w:rPr>
          <w:rFonts w:ascii="Arial" w:hAnsi="Arial" w:cs="Arial" w:eastAsia="Arial"/>
        </w:rPr>
      </w:pPr>
      <w:bookmarkStart w:colFirst="0" w:colLast="0" w:name="_2et92p0" w:id="4"/>
      <w:bookmarkEnd w:id="4"/>
      <w:r>
        <w:t xml:space="preserve">Score de risque</w:t>
      </w:r>
    </w:p>
    <w:p w14:paraId="00000013">
      <w:pPr>
        <w:rPr>
          <w:rFonts w:ascii="Arial" w:hAnsi="Arial" w:cs="Arial" w:eastAsia="Arial"/>
          <w:sz w:val="24"/>
        </w:rPr>
        <w:pStyle w:val="P68B1DB1-Normal1"/>
      </w:pPr>
      <w:r>
        <w:t xml:space="preserve">Sur une échelle de 1 à 10, le score de risque est de 8, ce qui est assez élevé. Cela est dû à un manque de contrôles et d'adhésion aux réglementations et normes de conformité nécessaires.</w:t>
      </w:r>
    </w:p>
    <w:p w14:paraId="00000014">
      <w:pPr>
        <w:pStyle w:val="Heading2"/>
        <w:rPr>
          <w:rFonts w:ascii="Arial" w:hAnsi="Arial" w:cs="Arial" w:eastAsia="Arial"/>
        </w:rPr>
      </w:pPr>
      <w:bookmarkStart w:colFirst="0" w:colLast="0" w:name="_tyjcwt" w:id="5"/>
      <w:bookmarkEnd w:id="5"/>
      <w:r>
        <w:t xml:space="preserve">Commentaires supplémentaires</w:t>
      </w:r>
    </w:p>
    <w:p w14:paraId="00000015">
      <w:pPr>
        <w:rPr>
          <w:rFonts w:ascii="Arial" w:hAnsi="Arial" w:cs="Arial" w:eastAsia="Arial"/>
          <w:sz w:val="24"/>
        </w:rPr>
        <w:pStyle w:val="P68B1DB1-Normal1"/>
      </w:pPr>
      <w:r>
        <w:t xml:space="preserve">L'impact potentiel de la perte d'une ressource est jugé moyen, car le service informatique ne sait pas quelles ressources seraient perdues. La probabilité d'une perte de ressources ou d'amendes de la part des instances gouvernementales est élevée car Botium Toys n'a pas mis en place tous les contrôles nécessaires et n'adhère pas aux réglementations et aux normes requises en matière de confidentialité des données des clients.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rPr>
  </w:style>
  <w:style w:type="paragraph" w:styleId="P68B1DB1-Normal1">
    <w:name w:val="P68B1DB1-Normal1"/>
    <w:basedOn w:val="Normal"/>
    <w:rPr>
      <w:sz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