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2773c5af5982400d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pStyle w:val="Title"/>
        <w:spacing w:before="760"/>
      </w:pPr>
      <w:r>
        <w:t>一周海洋时事与法治观察</w:t>
      </w:r>
    </w:p>
    <w:p w14:paraId="00100002" w14:textId="00100003">
      <w:pPr>
        <w:pStyle w:val="Subtitle"/>
      </w:pPr>
      <w:r>
        <w:t>十人演讲稿</w:t>
      </w:r>
    </w:p>
    <w:p w14:paraId="00100004" w14:textId="00100005">
      <w:pPr>
        <w:pStyle w:val="Subtitle"/>
      </w:pPr>
      <w:r>
        <w:t>2026年10月6日至12日</w:t>
      </w:r>
    </w:p>
    <w:p w14:paraId="00100006" w14:textId="00100007">
      <w:pPr>
        <w:pStyle w:val="Subtitle"/>
        <w:spacing w:after="640"/>
      </w:pPr>
      <w:r>
        <w:t>课堂汇报 约20分钟</w:t>
      </w:r>
    </w:p>
    <w:p w14:paraId="00100008" w14:textId="00100009">
      <w:pPr>
        <w:pStyle w:val="Heading1"/>
        <w:pageBreakBefore w:val="0"/>
      </w:pPr>
      <w:r>
        <w:t>汇报内容</w:t>
      </w:r>
    </w:p>
    <w:p w14:paraId="0010000A" w14:textId="0010000B">
      <w:r>
        <w:t>本次汇报选取六条国内新闻与四条国际新闻，讨论海洋生态保护、航运安全与国际海洋治理。十位演讲者各负责一条新闻，按“新闻事实、法治观察、交接句”的顺序展开。</w:t>
      </w:r>
    </w:p>
    <w:p w14:paraId="0010000C" w14:textId="0010000D">
      <w:r>
        <w:t>贯穿汇报的关注点是：海洋治理措施如何落实责任、留下可核查的程序记录，并改善生态与安全结果。</w:t>
      </w:r>
    </w:p>
    <w:p w14:paraId="0010000E" w14:textId="0010000F">
      <w:pPr>
        <w:pStyle w:val="Heading1"/>
        <w:pageBreakBefore w:val="0"/>
      </w:pPr>
      <w:r>
        <w:t>时间范围与口径</w:t>
      </w:r>
    </w:p>
    <w:p w14:paraId="00100010" w14:textId="00100011">
      <w:r>
        <w:t>新闻按原报道标注的发布日期选取，时间范围为2026年10月6日至12日。报道中的历史背景、前期工作和长期累计成果保留其原有时间口径。新闻事实与本组分析分开呈现。</w:t>
      </w:r>
    </w:p>
    <w:p w14:paraId="00100012" w14:textId="00100013">
      <w:r>
        <w:t>PPT共25页。第1位演讲者负责开场，第10位演讲者负责总结。每条新闻的事实页与观察页共用一份口播稿，避免重复朗读。</w:t>
      </w:r>
    </w:p>
    <w:p w14:paraId="00100014" w14:textId="00100015">
      <w:pPr>
        <w:pStyle w:val="Heading1"/>
        <w:pageBreakBefore/>
      </w:pPr>
      <w:r>
        <w:t>十位演讲者分工</w:t>
      </w:r>
    </w:p>
    <w:p w14:paraId="00100016" w14:textId="00100017">
      <w:r>
        <w:t>演讲者以编号表示，可直接替换为组员姓名。建议总时长约20分钟，语速以清楚、自然为准。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4592"/>
        <w:gridCol w:w="1304"/>
        <w:gridCol w:w="2324"/>
      </w:tblGrid>
      <w:tr>
        <w:trPr>
          <w:cantSplit/>
          <w:tblHeader/>
        </w:trPr>
        <w:tc>
          <w:tcPr>
            <w:tcW w:w="90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17394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18" w14:textId="00100019">
            <w:pPr>
              <w:spacing w:after="40" w:line="276" w:lineRule="auto"/>
            </w:pPr>
            <w:r>
              <w:rPr>
                <w:b/>
                <w:color w:val="FFFFFF"/>
                <w:sz w:val="20"/>
              </w:rPr>
              <w:t>演讲者</w:t>
            </w:r>
          </w:p>
        </w:tc>
        <w:tc>
          <w:tcPr>
            <w:tcW w:w="459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17394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1A" w14:textId="0010001B">
            <w:pPr>
              <w:spacing w:after="40" w:line="276" w:lineRule="auto"/>
            </w:pPr>
            <w:r>
              <w:rPr>
                <w:b/>
                <w:color w:val="FFFFFF"/>
                <w:sz w:val="20"/>
              </w:rPr>
              <w:t>负责新闻与环节</w:t>
            </w:r>
          </w:p>
        </w:tc>
        <w:tc>
          <w:tcPr>
            <w:tcW w:w="130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17394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1C" w14:textId="0010001D">
            <w:pPr>
              <w:spacing w:after="40" w:line="276" w:lineRule="auto"/>
            </w:pPr>
            <w:r>
              <w:rPr>
                <w:b/>
                <w:color w:val="FFFFFF"/>
                <w:sz w:val="20"/>
              </w:rPr>
              <w:t>PPT页码</w:t>
            </w:r>
          </w:p>
        </w:tc>
        <w:tc>
          <w:tcPr>
            <w:tcW w:w="232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17394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1E" w14:textId="0010001F">
            <w:pPr>
              <w:spacing w:after="40" w:line="276" w:lineRule="auto"/>
            </w:pPr>
            <w:r>
              <w:rPr>
                <w:b/>
                <w:color w:val="FFFFFF"/>
                <w:sz w:val="20"/>
              </w:rPr>
              <w:t>建议时长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20" w14:textId="00100021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w="459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22" w14:textId="00100023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三亚红树林保护区整治  开场</w:t>
            </w:r>
          </w:p>
        </w:tc>
        <w:tc>
          <w:tcPr>
            <w:tcW w:w="130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24" w14:textId="00100025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1至4</w:t>
            </w:r>
          </w:p>
        </w:tc>
        <w:tc>
          <w:tcPr>
            <w:tcW w:w="232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26" w14:textId="00100027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2分10秒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0F5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28" w14:textId="00100029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w="459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0F5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2A" w14:textId="0010002B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连江无居民海岛保护</w:t>
            </w:r>
          </w:p>
        </w:tc>
        <w:tc>
          <w:tcPr>
            <w:tcW w:w="130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0F5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2C" w14:textId="0010002D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5至6</w:t>
            </w:r>
          </w:p>
        </w:tc>
        <w:tc>
          <w:tcPr>
            <w:tcW w:w="232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0F5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2E" w14:textId="0010002F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1分55秒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30" w14:textId="00100031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w="459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32" w14:textId="00100033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宁德海洋生态修复</w:t>
            </w:r>
          </w:p>
        </w:tc>
        <w:tc>
          <w:tcPr>
            <w:tcW w:w="130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34" w14:textId="00100035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7至8</w:t>
            </w:r>
          </w:p>
        </w:tc>
        <w:tc>
          <w:tcPr>
            <w:tcW w:w="232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36" w14:textId="00100037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1分55秒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0F5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38" w14:textId="00100039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w="459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0F5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3A" w14:textId="0010003B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天津固体散装货物监管</w:t>
            </w:r>
          </w:p>
        </w:tc>
        <w:tc>
          <w:tcPr>
            <w:tcW w:w="130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0F5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3C" w14:textId="0010003D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9至10</w:t>
            </w:r>
          </w:p>
        </w:tc>
        <w:tc>
          <w:tcPr>
            <w:tcW w:w="232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0F5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3E" w14:textId="0010003F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1分55秒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40" w14:textId="00100041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w="459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42" w14:textId="00100043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潮州港民生物资保畅</w:t>
            </w:r>
          </w:p>
        </w:tc>
        <w:tc>
          <w:tcPr>
            <w:tcW w:w="130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44" w14:textId="00100045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11至12</w:t>
            </w:r>
          </w:p>
        </w:tc>
        <w:tc>
          <w:tcPr>
            <w:tcW w:w="232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46" w14:textId="00100047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1分55秒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0F5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48" w14:textId="00100049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w="459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0F5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4A" w14:textId="0010004B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金塘港区LNG加注</w:t>
            </w:r>
          </w:p>
        </w:tc>
        <w:tc>
          <w:tcPr>
            <w:tcW w:w="130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0F5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4C" w14:textId="0010004D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13至14</w:t>
            </w:r>
          </w:p>
        </w:tc>
        <w:tc>
          <w:tcPr>
            <w:tcW w:w="232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0F5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4E" w14:textId="0010004F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1分55秒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50" w14:textId="00100051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w="459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52" w14:textId="00100053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海洋地球工程研究框架</w:t>
            </w:r>
          </w:p>
        </w:tc>
        <w:tc>
          <w:tcPr>
            <w:tcW w:w="130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54" w14:textId="00100055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15至16</w:t>
            </w:r>
          </w:p>
        </w:tc>
        <w:tc>
          <w:tcPr>
            <w:tcW w:w="232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56" w14:textId="00100057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1分55秒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0F5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58" w14:textId="00100059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w="459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0F5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5A" w14:textId="0010005B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地中海污染合作五十年</w:t>
            </w:r>
          </w:p>
        </w:tc>
        <w:tc>
          <w:tcPr>
            <w:tcW w:w="130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0F5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5C" w14:textId="0010005D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17至18</w:t>
            </w:r>
          </w:p>
        </w:tc>
        <w:tc>
          <w:tcPr>
            <w:tcW w:w="232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0F5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5E" w14:textId="0010005F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1分55秒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60" w14:textId="00100061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9</w:t>
            </w:r>
          </w:p>
        </w:tc>
        <w:tc>
          <w:tcPr>
            <w:tcW w:w="459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62" w14:textId="00100063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塞内加尔海运单一窗口</w:t>
            </w:r>
          </w:p>
        </w:tc>
        <w:tc>
          <w:tcPr>
            <w:tcW w:w="130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64" w14:textId="00100065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19至20</w:t>
            </w:r>
          </w:p>
        </w:tc>
        <w:tc>
          <w:tcPr>
            <w:tcW w:w="232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66" w14:textId="00100067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1分55秒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0F5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68" w14:textId="00100069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w="459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0F5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6A" w14:textId="0010006B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公海条约秘书处选址  总结</w:t>
            </w:r>
          </w:p>
        </w:tc>
        <w:tc>
          <w:tcPr>
            <w:tcW w:w="130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0F5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6C" w14:textId="0010006D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21至25</w:t>
            </w:r>
          </w:p>
        </w:tc>
        <w:tc>
          <w:tcPr>
            <w:tcW w:w="232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fill="F0F5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10006E" w14:textId="0010006F">
            <w:pPr>
              <w:spacing w:after="40" w:line="276" w:lineRule="auto"/>
            </w:pPr>
            <w:r>
              <w:rPr>
                <w:b w:val="0"/>
                <w:color w:val="000000"/>
                <w:sz w:val="20"/>
              </w:rPr>
              <w:t>2分10秒</w:t>
            </w:r>
          </w:p>
        </w:tc>
      </w:tr>
    </w:tbl>
    <w:p w14:paraId="00100070" w14:textId="00100071">
      <w:pPr>
        <w:spacing w:before="240"/>
      </w:pPr>
      <w:r>
        <w:t>总计约19分40秒，换人及停顿预留约20秒。正式演讲前建议按实际语速合练一次。</w:t>
      </w:r>
    </w:p>
    <w:p w14:paraId="00100072" w14:textId="00100073">
      <w:r>
        <w:t>翻页提示：每位演讲者在介绍事实与数据后切换到法治观察页，讲完交接句后再进入下一条新闻。来源页用于核查与答疑，可在总结后直接结束放映。</w:t>
      </w:r>
    </w:p>
    <w:p w14:paraId="00100074" w14:textId="00100075">
      <w:pPr>
        <w:pStyle w:val="Heading1"/>
        <w:pageBreakBefore/>
      </w:pPr>
      <w:r>
        <w:t>演讲者1 三亚红树林保护区整治</w:t>
      </w:r>
    </w:p>
    <w:p w14:paraId="00100076" w14:textId="00100077">
      <w:pPr>
        <w:spacing w:after="100"/>
      </w:pPr>
      <w:r>
        <w:t>报道日期 2026-10-08 新闻来源 澎湃新闻 转引三亚日报</w:t>
      </w:r>
    </w:p>
    <w:p w14:paraId="00100078" w14:textId="00100079">
      <w:pPr>
        <w:spacing w:after="280"/>
      </w:pPr>
      <w:r>
        <w:t>对应PPT 第1至4页 建议时长 2分10秒</w:t>
      </w:r>
    </w:p>
    <w:p w14:paraId="0010007A" w14:textId="0010007B">
      <w:r>
        <w:t>老师、同学们，大家好。今天我们十位同学共同汇报10月6日至12日发布的十条海洋与海事新闻，预计用时约二十分钟。我们先看国内的生态保护和港口安全，再看国际海洋治理。每条新闻都会区分报道事实与我们的法治分析。需要注意，报道日期属于本周，并不代表报道中的全部工作都在本周开始。</w:t>
      </w:r>
    </w:p>
    <w:p w14:paraId="0010007C" w14:textId="0010007D">
      <w:r>
        <w:t>第一条新闻来自10月8日的澎湃新闻，内容转引三亚日报。10月7日，央视曝光红树林保护区违法赶海问题后，三亚开展联合整治。报道列明，相关部门关停涉及保护区的经营性赶海场所7家，收缴禁用地笼840条，并依法传唤5名赶海俱乐部负责人接受调查。</w:t>
      </w:r>
    </w:p>
    <w:p w14:paraId="0010007E" w14:textId="0010007F">
      <w:r>
        <w:t>这件事的关键，是旅游经营能否进入生态保护空间。游客觉得有趣、商家认为有市场，都不能替代保护区的功能要求和必要许可。地笼、船只停靠以及游客踩踏，还可能把一次游玩变成持续的生态扰动。</w:t>
      </w:r>
    </w:p>
    <w:p w14:paraId="00100080" w14:textId="00100081">
      <w:r>
        <w:t>从法治角度，我们关注经营者、监管部门和游客各自应承担什么责任。特别要说明，接受调查只是程序状态，不能直接等同于犯罪成立或处罚已经作出。具体责任需要依据事实、证据和适用规则认定。</w:t>
      </w:r>
    </w:p>
    <w:p w14:paraId="00100082" w14:textId="00100083">
      <w:r>
        <w:t>报道也提到受损区域评估、防护网修复和补植工作。这提醒我们，关停经营场所只是治理的一环，生态是否恢复还要通过后续监测判断。接下来，第二位同学将把视线转向更容易被忽视的无居民海岛。</w:t>
      </w:r>
    </w:p>
    <w:p w14:paraId="00100084" w14:textId="00100085">
      <w:pPr>
        <w:spacing w:before="100"/>
      </w:pPr>
      <w:r>
        <w:rPr>
          <w:color w:val="404B54"/>
          <w:sz w:val="20"/>
        </w:rPr>
        <w:t>口径提醒 接受调查不等于犯罪或者处罚已确定。</w:t>
      </w:r>
    </w:p>
    <w:p w14:paraId="00100086" w14:textId="00100087">
      <w:pPr>
        <w:spacing w:after="0"/>
      </w:pPr>
      <w:hyperlink r:id="rId9">
        <w:r>
          <w:rPr>
            <w:color w:val="21556E"/>
            <w:u w:val="single"/>
          </w:rPr>
          <w:t>[01] 点击查看新闻原文</w:t>
        </w:r>
      </w:hyperlink>
    </w:p>
    <w:p w14:paraId="00100088" w14:textId="00100089">
      <w:pPr>
        <w:pStyle w:val="Heading1"/>
        <w:pageBreakBefore/>
      </w:pPr>
      <w:r>
        <w:t>演讲者2 连江无居民海岛保护</w:t>
      </w:r>
    </w:p>
    <w:p w14:paraId="0010008A" w14:textId="0010008B">
      <w:pPr>
        <w:spacing w:after="100"/>
      </w:pPr>
      <w:r>
        <w:t>报道日期 2026-10-09 新闻来源 福州新闻网</w:t>
      </w:r>
    </w:p>
    <w:p w14:paraId="0010008C" w14:textId="0010008D">
      <w:pPr>
        <w:spacing w:after="280"/>
      </w:pPr>
      <w:r>
        <w:t>对应PPT 第5至6页 建议时长 1分55秒</w:t>
      </w:r>
    </w:p>
    <w:p w14:paraId="0010008E" w14:textId="0010008F">
      <w:r>
        <w:t>第二条新闻是10月9日福州新闻网报道的连江无居民海岛保护。连江县有211座无居民海岛。报道介绍，检察机关利用无人机巡查和实地勘察，发现个别海岛存在违规搭建建筑、周边生态保护措施不足等问题，随后通过检察建议推动主管部门整改，并建立多部门保护协作机制。</w:t>
      </w:r>
    </w:p>
    <w:p w14:paraId="00100090" w14:textId="00100091">
      <w:r>
        <w:t>这里有一个时间细节：报道提到的部分发现和圆桌会议发生在今年7月、8月。这是一条本周发布的治理进展报道，我们不能把所有步骤都说成上周刚发生。它的新近意义在于展示协作机制和后续回访如何落地。</w:t>
      </w:r>
    </w:p>
    <w:p w14:paraId="00100092" w14:textId="00100093">
      <w:r>
        <w:t>无居民海岛往往点多、距离远、登岛困难。没有长期居民，并不意味着可以随意建房、堆放垃圾或者改变原有地貌。利用这些空间仍要符合审批和生态保护要求。监管难度大，也不意味着监管责任可以消失。</w:t>
      </w:r>
    </w:p>
    <w:p w14:paraId="00100094" w14:textId="00100095">
      <w:r>
        <w:t>本组的法治观察是，检察公益诉讼监督能够推动行政机关履行已有职责，但日常管理依然需要自然资源、海洋渔业等部门具体执行。无人机提供线索之后，谁接收、谁调查、谁整改、谁复查，都应当有明确安排。</w:t>
      </w:r>
    </w:p>
    <w:p w14:paraId="00100096" w14:textId="00100097">
      <w:r>
        <w:t>这条新闻让我们看到，制度的效果体现在一个小岛的问题有没有真正解决，而不只是签订了一份协作文件。接下来，第三位同学介绍一项主动恢复海岸生态的红树林种植工程。</w:t>
      </w:r>
    </w:p>
    <w:p w14:paraId="00100098" w14:textId="00100099">
      <w:pPr>
        <w:spacing w:before="100"/>
      </w:pPr>
      <w:r>
        <w:rPr>
          <w:color w:val="404B54"/>
          <w:sz w:val="20"/>
        </w:rPr>
        <w:t>口径提醒 本周报道中包含此前治理工作。</w:t>
      </w:r>
    </w:p>
    <w:p w14:paraId="0010009A" w14:textId="0010009B">
      <w:pPr>
        <w:spacing w:after="0"/>
      </w:pPr>
      <w:hyperlink r:id="rId10">
        <w:r>
          <w:rPr>
            <w:color w:val="21556E"/>
            <w:u w:val="single"/>
          </w:rPr>
          <w:t>[02] 点击查看新闻原文</w:t>
        </w:r>
      </w:hyperlink>
    </w:p>
    <w:p w14:paraId="0010009C" w14:textId="0010009D">
      <w:pPr>
        <w:pStyle w:val="Heading1"/>
        <w:pageBreakBefore/>
      </w:pPr>
      <w:r>
        <w:t>演讲者3 宁德海洋生态修复</w:t>
      </w:r>
    </w:p>
    <w:p w14:paraId="0010009E" w14:textId="0010009F">
      <w:pPr>
        <w:spacing w:after="100"/>
      </w:pPr>
      <w:r>
        <w:t>报道日期 2026-10-10 新闻来源 中国水运网 新浪财经转载</w:t>
      </w:r>
    </w:p>
    <w:p w14:paraId="001000A0" w14:textId="001000A1">
      <w:pPr>
        <w:spacing w:after="280"/>
      </w:pPr>
      <w:r>
        <w:t>对应PPT 第7至8页 建议时长 1分55秒</w:t>
      </w:r>
    </w:p>
    <w:p w14:paraId="001000A2" w14:textId="001000A3">
      <w:r>
        <w:t>第三条新闻来自10月10日新浪财经转载的中国水运网报道。福建宁德海洋生态保护修复项目近日在青岐湾启动红树林种植，由中交广州航道局承建。报道介绍，项目设计营造红树林58.14公顷，还包括盐沼植被、鸟类调节区、受损岸线修复和潮汐通道疏通。</w:t>
      </w:r>
    </w:p>
    <w:p w14:paraId="001000A4" w14:textId="001000A5">
      <w:r>
        <w:t>请大家注意屏幕上的数字，58.14公顷是项目设计的红树林面积，不是已经全部种植完成，更不是已经形成成熟红树林的面积。目前项目正处于微地形改造与种植同步推进阶段，建设进度和生态恢复进度需要分开理解。</w:t>
      </w:r>
    </w:p>
    <w:p w14:paraId="001000A6" w14:textId="001000A7">
      <w:r>
        <w:t>海洋生态修复为什么要疏通潮沟、调整地形，而不只是把树苗种下去？因为潮间带生物依赖合适的水文与生境条件。潮水交换、地形高程和树种适应性都会影响成活与后续生长。报道提到，工程已经通过试验段积累适配本地滩涂的种植经验。</w:t>
      </w:r>
    </w:p>
    <w:p w14:paraId="001000A8" w14:textId="001000A9">
      <w:r>
        <w:t>我们的法治分析是，生态修复项目的责任需要延伸到验收和维护阶段。合同怎样规定苗木质量、养护责任和监测周期，主管部门用什么指标评价修复效果，都会影响公共投入最终能否转化为稳定生境。</w:t>
      </w:r>
    </w:p>
    <w:p w14:paraId="001000AA" w14:textId="001000AB">
      <w:r>
        <w:t>因此，这条新闻值得持续跟踪的，是成活率、潮汐循环和生态功能的实际变化，而不是只看施工面积。下面，第四位同学将介绍海上货物运输中一种容易被外观掩盖的安全风险。</w:t>
      </w:r>
    </w:p>
    <w:p w14:paraId="001000AC" w14:textId="001000AD">
      <w:pPr>
        <w:spacing w:before="100"/>
      </w:pPr>
      <w:r>
        <w:rPr>
          <w:color w:val="404B54"/>
          <w:sz w:val="20"/>
        </w:rPr>
        <w:t>口径提醒 58.14公顷为设计面积，效果图不代表已建成。</w:t>
      </w:r>
    </w:p>
    <w:p w14:paraId="001000AE" w14:textId="001000AF">
      <w:pPr>
        <w:spacing w:after="0"/>
      </w:pPr>
      <w:hyperlink r:id="rId11">
        <w:r>
          <w:rPr>
            <w:color w:val="21556E"/>
            <w:u w:val="single"/>
          </w:rPr>
          <w:t>[03] 点击查看新闻原文</w:t>
        </w:r>
      </w:hyperlink>
    </w:p>
    <w:p w14:paraId="001000B0" w14:textId="001000B1">
      <w:pPr>
        <w:pStyle w:val="Heading1"/>
        <w:pageBreakBefore/>
      </w:pPr>
      <w:r>
        <w:t>演讲者4 天津固体散装货物监管</w:t>
      </w:r>
    </w:p>
    <w:p w14:paraId="001000B2" w14:textId="001000B3">
      <w:pPr>
        <w:spacing w:after="100"/>
      </w:pPr>
      <w:r>
        <w:t>报道日期 2026-10-07 新闻来源 中国交通报 中国交通新闻网</w:t>
      </w:r>
    </w:p>
    <w:p w14:paraId="001000B4" w14:textId="001000B5">
      <w:pPr>
        <w:spacing w:after="280"/>
      </w:pPr>
      <w:r>
        <w:t>对应PPT 第9至10页 建议时长 1分55秒</w:t>
      </w:r>
    </w:p>
    <w:p w14:paraId="001000B6" w14:textId="001000B7">
      <w:r>
        <w:t>第四条新闻是10月7日中国交通报关于天津海事局固体散装货物监管的报道。国庆假期期间，天津港相关运输仍在进行。海事部门围绕货物运输全链条部署检查，尤其关注A组等具有特殊性质的货物，核查水分含量检测、适运水分极限和船舶稳性计算。</w:t>
      </w:r>
    </w:p>
    <w:p w14:paraId="001000B8" w14:textId="001000B9">
      <w:r>
        <w:t>固体散货并不一定始终保持稳定的固体状态。部分货物在水分、振动等条件作用下可能出现流态化，或者发生位移，进而影响船舶稳性。风险在外观上不一定明显，因此检测报告、装载条件和实际货况十分重要。</w:t>
      </w:r>
    </w:p>
    <w:p w14:paraId="001000BA" w14:textId="001000BB">
      <w:r>
        <w:t>报道中的监管既包括节前核查，也包括装卸过程中的船岸联合检查。发现隐患后，要明确整改要求并复查；对重大隐患或者逾期未改的问题，依法采取停止作业、禁止离港等措施。这是一条监管工作新闻，我们不把它解释成已经发生了某起事故。</w:t>
      </w:r>
    </w:p>
    <w:p w14:paraId="001000BC" w14:textId="001000BD">
      <w:r>
        <w:t>本组认为，海事法治需要把责任具体落实到托运人、码头经营者、航运企业和船员各自掌握的环节。报告由谁提供，货物由谁核实，装载条件由谁判断，应当能沿着资料和作业记录追溯。</w:t>
      </w:r>
    </w:p>
    <w:p w14:paraId="001000BE" w14:textId="001000BF">
      <w:r>
        <w:t>这条新闻也说明，技术标准只有进入真实作业流程，才能发挥预防作用。下一条新闻继续讨论港口，但重点转向民生物资怎样在繁忙航道中安全通行。</w:t>
      </w:r>
    </w:p>
    <w:p w14:paraId="001000C0" w14:textId="001000C1">
      <w:pPr>
        <w:spacing w:before="100"/>
      </w:pPr>
      <w:r>
        <w:rPr>
          <w:color w:val="404B54"/>
          <w:sz w:val="20"/>
        </w:rPr>
        <w:t>口径提醒 监管工作报道不等于事故报道。</w:t>
      </w:r>
    </w:p>
    <w:p w14:paraId="001000C2" w14:textId="001000C3">
      <w:pPr>
        <w:spacing w:after="0"/>
      </w:pPr>
      <w:hyperlink r:id="rId12">
        <w:r>
          <w:rPr>
            <w:color w:val="21556E"/>
            <w:u w:val="single"/>
          </w:rPr>
          <w:t>[04] 点击查看新闻原文</w:t>
        </w:r>
      </w:hyperlink>
    </w:p>
    <w:p w14:paraId="001000C4" w14:textId="001000C5">
      <w:pPr>
        <w:pStyle w:val="Heading1"/>
        <w:pageBreakBefore/>
      </w:pPr>
      <w:r>
        <w:t>演讲者5 潮州港民生物资保畅</w:t>
      </w:r>
    </w:p>
    <w:p w14:paraId="001000C6" w14:textId="001000C7">
      <w:pPr>
        <w:spacing w:after="100"/>
      </w:pPr>
      <w:r>
        <w:t>报道日期 2026-10-09 新闻来源 羊城派 21经济网转载</w:t>
      </w:r>
    </w:p>
    <w:p w14:paraId="001000C8" w14:textId="001000C9">
      <w:pPr>
        <w:spacing w:after="280"/>
      </w:pPr>
      <w:r>
        <w:t>对应PPT 第11至12页 建议时长 1分55秒</w:t>
      </w:r>
    </w:p>
    <w:p w14:paraId="001000CA" w14:textId="001000CB">
      <w:r>
        <w:t>第五条新闻来自10月9日21经济网转载的羊城派报道。国庆期间，潮州港船舶进出149艘次，重点民生物资运输量达到40万吨。海事部门为电煤、液化天然气和粮食等重点物资提供直进直靠、直离直出的服务，减少船舶等待和在港时间。</w:t>
      </w:r>
    </w:p>
    <w:p w14:paraId="001000CC" w14:textId="001000CD">
      <w:r>
        <w:t>这些数字对应的是报道所说的国庆期间，不能当作全年数据，也不能简单理解为整个近一周的所有港口吞吐量。它反映的具体问题是，节假日期间仍然要保持民生物资运输连续、稳定。</w:t>
      </w:r>
    </w:p>
    <w:p w14:paraId="001000CE" w14:textId="001000CF">
      <w:r>
        <w:t>潮州港还有一个特点，它是商渔混合港。商船和渔船交汇频繁，部分自用船在航道下网捕鱼，会对通航秩序形成隐患。报道介绍，海事与相关执法部门通过联合值守、现场和远程巡航，发现问题后现场督促整改。</w:t>
      </w:r>
    </w:p>
    <w:p w14:paraId="001000D0" w14:textId="001000D1">
      <w:r>
        <w:t>本组的分析是，优先保障重点运输，并不意味着放松安全检查。合理的便利化，应当建立在实时掌握船舶动态、清晰组织交通和及时处置异常的基础上。航运服务和安全监管要在同一个作业安排中落实。</w:t>
      </w:r>
    </w:p>
    <w:p w14:paraId="001000D2" w14:textId="001000D3">
      <w:r>
        <w:t>报道说期间未发生水上交通事故，这是对已经发生情况的描述，不能据此推断今后没有风险。我们更应关注联合值守和提醒机制能否常态化。接下来，第六位同学介绍绿色航运服务中的LNG加注。</w:t>
      </w:r>
    </w:p>
    <w:p w14:paraId="001000D4" w14:textId="001000D5">
      <w:pPr>
        <w:spacing w:before="100"/>
      </w:pPr>
      <w:r>
        <w:rPr>
          <w:color w:val="404B54"/>
          <w:sz w:val="20"/>
        </w:rPr>
        <w:t>口径提醒 40万吨、149艘次均为国庆期间数据。</w:t>
      </w:r>
    </w:p>
    <w:p w14:paraId="001000D6" w14:textId="001000D7">
      <w:pPr>
        <w:spacing w:after="0"/>
      </w:pPr>
      <w:hyperlink r:id="rId13">
        <w:r>
          <w:rPr>
            <w:color w:val="21556E"/>
            <w:u w:val="single"/>
          </w:rPr>
          <w:t>[05] 点击查看新闻原文</w:t>
        </w:r>
      </w:hyperlink>
    </w:p>
    <w:p w14:paraId="001000D8" w14:textId="001000D9">
      <w:pPr>
        <w:pStyle w:val="Heading1"/>
        <w:pageBreakBefore/>
      </w:pPr>
      <w:r>
        <w:t>演讲者6 金塘港区LNG加注</w:t>
      </w:r>
    </w:p>
    <w:p w14:paraId="001000DA" w14:textId="001000DB">
      <w:pPr>
        <w:spacing w:after="100"/>
      </w:pPr>
      <w:r>
        <w:t>报道日期 2026-10-06 新闻来源 中国交通报 中国交通新闻网</w:t>
      </w:r>
    </w:p>
    <w:p w14:paraId="001000DC" w14:textId="001000DD">
      <w:pPr>
        <w:spacing w:after="280"/>
      </w:pPr>
      <w:r>
        <w:t>对应PPT 第13至14页 建议时长 1分55秒</w:t>
      </w:r>
    </w:p>
    <w:p w14:paraId="001000DE" w14:textId="001000DF">
      <w:r>
        <w:t>第六条新闻来自10月6日中国交通报。宁波舟山港金塘港区近日开展保税LNG加注，海洋石油302轮为达飞帕米尔轮实施约4000立方米加注。该业务首次拓展至舟山港域，也是浙江海港国际贸易有限公司首次实现宁波提气、舟山加注的跨关区协同模式。</w:t>
      </w:r>
    </w:p>
    <w:p w14:paraId="001000E0" w14:textId="001000E1">
      <w:r>
        <w:t>LNG就是液化天然气。这里的新闻重点，不只是燃料运到了哪里，还包括它如何跨关区流转，如何安排船对船加注，以及怎样保障周围船舶通航。任何一个环节衔接不顺，都可能影响作业安全和服务效率。</w:t>
      </w:r>
    </w:p>
    <w:p w14:paraId="001000E2" w14:textId="001000E3">
      <w:r>
        <w:t>报道介绍，海关优化申报和核销流程，海事部门通过闭路电视、海巡艇、无人机以及船舶交通管理系统开展动态监管，相关部门共同制定专属作业方案。跨部门协同由此直接体现在一次具体加注作业中。</w:t>
      </w:r>
    </w:p>
    <w:p w14:paraId="001000E4" w14:textId="001000E5">
      <w:r>
        <w:t>我们的分析需要保留一个区分：报道把服务升级放在绿色航运背景下，但LNG并不等于零排放燃料。讨论它的气候效益，还要考虑上游生产、运输以及甲烷泄漏等全生命周期因素，不能只依据燃料名称就给出最终环保结论。</w:t>
      </w:r>
    </w:p>
    <w:p w14:paraId="001000E6" w14:textId="001000E7">
      <w:r>
        <w:t>这条新闻提示我们，绿色航运建设既涉及新的设施，也涉及危险作业规范与通关程序的衔接。下一位同学将介绍另一种更需要谨慎评估的海洋技术，也就是海洋地球工程研究。</w:t>
      </w:r>
    </w:p>
    <w:p w14:paraId="001000E8" w14:textId="001000E9">
      <w:pPr>
        <w:spacing w:before="100"/>
      </w:pPr>
      <w:r>
        <w:rPr>
          <w:color w:val="404B54"/>
          <w:sz w:val="20"/>
        </w:rPr>
        <w:t>口径提醒 约4000立方米为本次作业量，LNG不等于零排放。</w:t>
      </w:r>
    </w:p>
    <w:p w14:paraId="001000EA" w14:textId="001000EB">
      <w:pPr>
        <w:spacing w:after="0"/>
      </w:pPr>
      <w:hyperlink r:id="rId14">
        <w:r>
          <w:rPr>
            <w:color w:val="21556E"/>
            <w:u w:val="single"/>
          </w:rPr>
          <w:t>[06] 点击查看新闻原文</w:t>
        </w:r>
      </w:hyperlink>
    </w:p>
    <w:p w14:paraId="001000EC" w14:textId="001000ED">
      <w:pPr>
        <w:pStyle w:val="Heading1"/>
        <w:pageBreakBefore/>
      </w:pPr>
      <w:r>
        <w:t>演讲者7 海洋地球工程研究框架</w:t>
      </w:r>
    </w:p>
    <w:p w14:paraId="001000EE" w14:textId="001000EF">
      <w:pPr>
        <w:spacing w:after="100"/>
      </w:pPr>
      <w:r>
        <w:t>报道日期 2026-10-09 新闻来源 国际海事组织 IMO</w:t>
      </w:r>
    </w:p>
    <w:p w14:paraId="001000F0" w14:textId="001000F1">
      <w:pPr>
        <w:spacing w:after="280"/>
      </w:pPr>
      <w:r>
        <w:t>对应PPT 第15至16页 建议时长 1分55秒</w:t>
      </w:r>
    </w:p>
    <w:p w14:paraId="001000F2" w14:textId="001000F3">
      <w:r>
        <w:t>第七条新闻来自国际海事组织10月9日发布的消息。10月5日至9日，伦敦公约和伦敦议定书缔约方在伦敦开会，通过了海洋地球工程研究活动的评估框架，涉及海洋施肥、海洋增碱和海洋生物质沉降三类方法。</w:t>
      </w:r>
    </w:p>
    <w:p w14:paraId="001000F4" w14:textId="001000F5">
      <w:r>
        <w:t>这些方法都与增强海洋吸收或者储存碳的能力有关。例如，增碱试图通过加入碱性物质提高海水吸收二氧化碳的能力。但国际海事组织明确指出，这些活动对海洋生态系统的潜在影响尚未被充分理解，科学知识仍然有限。</w:t>
      </w:r>
    </w:p>
    <w:p w14:paraId="001000F6" w14:textId="001000F7">
      <w:r>
        <w:t>新框架要求审查活动是否具有正当科学目的，进行环境风险评估、利益相关方协商和同行评审，并安排严格监测与透明报告。评估结果还可以在出现新信息时重新审视。这体现了研究过程本身也需要规则约束。</w:t>
      </w:r>
    </w:p>
    <w:p w14:paraId="001000F8" w14:textId="001000F9">
      <w:r>
        <w:t>我们必须特别说明，这次通过的是研究评估工具，不能讲成三类技术已经获得商业化批准。报道也强调，在考虑超出研究阶段的活动之前，仍需进一步科学研究。对具体项目是否允许开展，要逐案判断。</w:t>
      </w:r>
    </w:p>
    <w:p w14:paraId="001000FA" w14:textId="001000FB">
      <w:r>
        <w:t>本组认为，海洋法治对新技术的价值，是把不确定性转化为审查、监测和可追责的程序。目标看起来有利于气候，也不能免除生态风险评估。接下来，第八位同学介绍地中海国家如何长期合作应对海洋污染。</w:t>
      </w:r>
    </w:p>
    <w:p w14:paraId="001000FC" w14:textId="001000FD">
      <w:pPr>
        <w:spacing w:before="100"/>
      </w:pPr>
      <w:r>
        <w:rPr>
          <w:color w:val="404B54"/>
          <w:sz w:val="20"/>
        </w:rPr>
        <w:t>口径提醒 三类框架针对研究活动，不等于商业化许可。</w:t>
      </w:r>
    </w:p>
    <w:p w14:paraId="001000FE" w14:textId="001000FF">
      <w:pPr>
        <w:spacing w:after="0"/>
      </w:pPr>
      <w:hyperlink r:id="rId15">
        <w:r>
          <w:rPr>
            <w:color w:val="21556E"/>
            <w:u w:val="single"/>
          </w:rPr>
          <w:t>[07] 点击查看新闻原文</w:t>
        </w:r>
      </w:hyperlink>
    </w:p>
    <w:p w14:paraId="00100100" w14:textId="00100101">
      <w:pPr>
        <w:pStyle w:val="Heading1"/>
        <w:pageBreakBefore/>
      </w:pPr>
      <w:r>
        <w:t>演讲者8 地中海污染合作五十年</w:t>
      </w:r>
    </w:p>
    <w:p w14:paraId="00100102" w14:textId="00100103">
      <w:pPr>
        <w:spacing w:after="100"/>
      </w:pPr>
      <w:r>
        <w:t>报道日期 2026-10-06 新闻来源 国际海事组织 IMO</w:t>
      </w:r>
    </w:p>
    <w:p w14:paraId="00100104" w14:textId="00100105">
      <w:pPr>
        <w:spacing w:after="280"/>
      </w:pPr>
      <w:r>
        <w:t>对应PPT 第17至18页 建议时长 1分55秒</w:t>
      </w:r>
    </w:p>
    <w:p w14:paraId="00100106" w14:textId="00100107">
      <w:r>
        <w:t>第八条新闻是国际海事组织10月6日发布的地中海区域海洋污染应急中心成立50周年消息。这个中心简称REMPEC，1976年成立，最初侧重油污染应对，之后逐步扩展至更广泛的海洋污染问题，尤其是船舶污染预防。周年活动在马耳他举行。</w:t>
      </w:r>
    </w:p>
    <w:p w14:paraId="00100108" w14:textId="00100109">
      <w:r>
        <w:t>根据报道，过去五十年，中心协助20个地中海国家建立海洋污染应急体系，并通过地中海援助机制提供全天候专家支持，累计培训超过5000名政府工作人员和志愿者。这里的20国和5000多人都是长期累计成果，不是本周或今年新增数据。</w:t>
      </w:r>
    </w:p>
    <w:p w14:paraId="0010010A" w14:textId="0010010B">
      <w:r>
        <w:t>这条纪念新闻之所以与海洋法治相关，是因为海洋污染经常超出一国管辖空间。一次泄漏可能影响邻国海岸，单个国家如果缺少监测、装备或技术人员，也很难独立完成有效处置。区域机制可以把不同国家的能力连接起来。</w:t>
      </w:r>
    </w:p>
    <w:p w14:paraId="0010010C" w14:textId="0010010D">
      <w:r>
        <w:t>我们的分析是，国际合作不能停留在共同承诺。应急预案是否能启动，专家是否能迅速到位，跨境信息是否及时共享，才决定合作有没有实际作用。平时的培训和演练，能够为突发事件发生后的协调减少障碍。</w:t>
      </w:r>
    </w:p>
    <w:p w14:paraId="0010010E" w14:textId="0010010F">
      <w:r>
        <w:t>从这一长期经验可以看出，海洋规则的执行需要持续投入，也需要相互信任。接下来，第九位同学将讨论另一种跨部门合作方式，也就是塞内加尔港口正在推进的海运单一窗口。</w:t>
      </w:r>
    </w:p>
    <w:p w14:paraId="00100110" w14:textId="00100111">
      <w:pPr>
        <w:spacing w:before="100"/>
      </w:pPr>
      <w:r>
        <w:rPr>
          <w:color w:val="404B54"/>
          <w:sz w:val="20"/>
        </w:rPr>
        <w:t>口径提醒 20国、逾5000人为过去五十年的累计成果。</w:t>
      </w:r>
    </w:p>
    <w:p w14:paraId="00100112" w14:textId="00100113">
      <w:pPr>
        <w:spacing w:after="0"/>
      </w:pPr>
      <w:hyperlink r:id="rId16">
        <w:r>
          <w:rPr>
            <w:color w:val="21556E"/>
            <w:u w:val="single"/>
          </w:rPr>
          <w:t>[08] 点击查看新闻原文</w:t>
        </w:r>
      </w:hyperlink>
    </w:p>
    <w:p w14:paraId="00100114" w14:textId="00100115">
      <w:pPr>
        <w:pStyle w:val="Heading1"/>
        <w:pageBreakBefore/>
      </w:pPr>
      <w:r>
        <w:t>演讲者9 塞内加尔海运单一窗口</w:t>
      </w:r>
    </w:p>
    <w:p w14:paraId="00100116" w14:textId="00100117">
      <w:pPr>
        <w:spacing w:after="100"/>
      </w:pPr>
      <w:r>
        <w:t>报道日期 2026-10-09 新闻来源 国际海事组织 IMO</w:t>
      </w:r>
    </w:p>
    <w:p w14:paraId="00100118" w14:textId="00100119">
      <w:pPr>
        <w:spacing w:after="280"/>
      </w:pPr>
      <w:r>
        <w:t>对应PPT 第19至20页 建议时长 1分55秒</w:t>
      </w:r>
    </w:p>
    <w:p w14:paraId="0010011A" w14:textId="0010011B">
      <w:r>
        <w:t>第九条新闻来自国际海事组织10月9日的消息。10月5日至9日，国际海事组织在塞内加尔达喀尔港开展需求评估，支持当地建立海运单一窗口。参与咨询的单位包括海事主管机关、港口管理机构、海关、港口卫生、边检部门，以及航运公司、船舶代理和码头经营者。</w:t>
      </w:r>
    </w:p>
    <w:p w14:paraId="0010011C" w14:textId="0010011D">
      <w:r>
        <w:t>海运单一窗口可以理解为统一的信息提交和交换入口。船舶进港、停留、离港时需要提交许多资料，如果不同部门反复收取相近信息，就容易增加办理时间。单一窗口希望减少重复录入，使信息在相关机构之间更顺畅地流转。</w:t>
      </w:r>
    </w:p>
    <w:p w14:paraId="0010011E" w14:textId="0010011F">
      <w:r>
        <w:t>但本次工作的阶段必须说清楚：它是在评估现有流程、制度和建设需求，并形成实施路线图，报道没有说达喀尔港的新系统已经上线。需求评估和系统投用，是两个不同的事实。</w:t>
      </w:r>
    </w:p>
    <w:p w14:paraId="00100120" w14:textId="00100121">
      <w:r>
        <w:t>本组认为，港口数字化的难点不只在软件。哪些数据可以共享，哪个部门有权访问，发现错误时由谁更正，企业提交一次以后还需要履行哪些义务，都应在制度和流程中明确。技术整合不能让监管责任变得模糊。</w:t>
      </w:r>
    </w:p>
    <w:p w14:paraId="00100122" w14:textId="00100123">
      <w:r>
        <w:t>这条新闻表明，数字化可以改善营商与通关效率，但前提是程序和责任能够衔接。最后，第十位同学会把视角扩展到国家管辖范围之外，介绍公海条约秘书处选址的最新讨论。</w:t>
      </w:r>
    </w:p>
    <w:p w14:paraId="00100124" w14:textId="00100125">
      <w:pPr>
        <w:spacing w:before="100"/>
      </w:pPr>
      <w:r>
        <w:rPr>
          <w:color w:val="404B54"/>
          <w:sz w:val="20"/>
        </w:rPr>
        <w:t>口径提醒 此次为需求评估，不能表述为新系统已上线。</w:t>
      </w:r>
    </w:p>
    <w:p w14:paraId="00100126" w14:textId="00100127">
      <w:pPr>
        <w:spacing w:after="0"/>
      </w:pPr>
      <w:hyperlink r:id="rId17">
        <w:r>
          <w:rPr>
            <w:color w:val="21556E"/>
            <w:u w:val="single"/>
          </w:rPr>
          <w:t>[09] 点击查看新闻原文</w:t>
        </w:r>
      </w:hyperlink>
    </w:p>
    <w:p w14:paraId="00100128" w14:textId="00100129">
      <w:pPr>
        <w:pStyle w:val="Heading1"/>
        <w:pageBreakBefore/>
      </w:pPr>
      <w:r>
        <w:t>演讲者10 公海条约秘书处选址</w:t>
      </w:r>
    </w:p>
    <w:p w14:paraId="0010012A" w14:textId="0010012B">
      <w:pPr>
        <w:spacing w:after="100"/>
      </w:pPr>
      <w:r>
        <w:t>报道日期 2026-10-06 新闻来源 Climate Home News</w:t>
      </w:r>
    </w:p>
    <w:p w14:paraId="0010012C" w14:textId="0010012D">
      <w:pPr>
        <w:spacing w:after="280"/>
      </w:pPr>
      <w:r>
        <w:t>对应PPT 第21至25页 建议时长 2分10秒</w:t>
      </w:r>
    </w:p>
    <w:p w14:paraId="0010012E" w14:textId="0010012F">
      <w:r>
        <w:t>最后一条新闻来自10月6日Climate Home News。报道说，智利重申申办公海条约秘书处驻地，提出港口城市瓦尔帕莱索。中国厦门和比利时布鲁塞尔也在竞争。这里讲的是本周的进展报道，智利重申立场的相关活动发生在此前的联合国大会期间。</w:t>
      </w:r>
    </w:p>
    <w:p w14:paraId="00100130" w14:textId="00100131">
      <w:r>
        <w:t>公海条约通常简称BBNJ协定，关注国家管辖范围以外海域的海洋生物多样性。秘书处将承担制度运行的日常支持工作。报道指出，驻地还需要由缔约方会议作出决定。因此，截至本次汇报所依据的报道，不能说某座城市已经当选。</w:t>
      </w:r>
    </w:p>
    <w:p w14:paraId="00100132" w14:textId="00100133">
      <w:r>
        <w:t>我们的分析是，选址问题不仅是办公地点的竞争，也涉及不同国家能否方便参加治理、科学信息怎样共享，以及机构如何保持透明。报道中的不同候选方提出了各自理由，我们应把这些主张和最终决定区分开来。</w:t>
      </w:r>
    </w:p>
    <w:p w14:paraId="00100134" w14:textId="00100135">
      <w:r>
        <w:t>更值得持续关注的，是机构运行后如何支持海洋保护措施、环境影响评估和能力建设。拥有一个秘书处只是制度执行的起点，保护海洋需要可落实的程序、持续的资金和科学支持。</w:t>
      </w:r>
    </w:p>
    <w:p w14:paraId="00100136" w14:textId="00100137">
      <w:r>
        <w:t>回看今天的十条新闻，国内案例让我们看到保护区经营、无人岛利用和船舶作业的责任边界，国际案例则展示风险评估、区域应急和共同机构建设。它们共同说明，海洋法治的效果最终要在实际行为和生态结果中检验。</w:t>
      </w:r>
    </w:p>
    <w:p w14:paraId="00100138" w14:textId="00100139">
      <w:r>
        <w:t>我们的汇报到此结束。想留给大家讨论的问题是：一项海洋治理措施公布以后，我们应该用什么证据判断它真正有效？感谢大家。</w:t>
      </w:r>
    </w:p>
    <w:p w14:paraId="0010013A" w14:textId="0010013B">
      <w:pPr>
        <w:spacing w:before="100"/>
      </w:pPr>
      <w:r>
        <w:rPr>
          <w:color w:val="404B54"/>
          <w:sz w:val="20"/>
        </w:rPr>
        <w:t>口径提醒 秘书处驻地仍待决定，候选方的主张不等于结论。</w:t>
      </w:r>
    </w:p>
    <w:p w14:paraId="0010013C" w14:textId="0010013D">
      <w:pPr>
        <w:spacing w:after="0"/>
      </w:pPr>
      <w:hyperlink r:id="rId18">
        <w:r>
          <w:rPr>
            <w:color w:val="21556E"/>
            <w:u w:val="single"/>
          </w:rPr>
          <w:t>[10] 点击查看新闻原文</w:t>
        </w:r>
      </w:hyperlink>
    </w:p>
    <w:p w14:paraId="0010013E" w14:textId="0010013F">
      <w:pPr>
        <w:pStyle w:val="Heading1"/>
        <w:pageBreakBefore/>
      </w:pPr>
      <w:r>
        <w:t>新闻来源与素材出处 1</w:t>
      </w:r>
    </w:p>
    <w:p w14:paraId="00100140" w14:textId="00100141">
      <w:pPr>
        <w:spacing w:after="60" w:line="264" w:lineRule="auto"/>
      </w:pPr>
      <w:r>
        <w:rPr>
          <w:sz w:val="21"/>
        </w:rPr>
        <w:t>以下原文均已核对内容。核查截至2026年10月12日。PPT事实页的编号与此处一致。</w:t>
      </w:r>
    </w:p>
    <w:p w14:paraId="00100142" w14:textId="00100143">
      <w:pPr>
        <w:pStyle w:val="Heading2"/>
        <w:spacing w:before="140" w:after="60" w:line="264" w:lineRule="auto"/>
      </w:pPr>
      <w:r>
        <w:rPr>
          <w:sz w:val="28"/>
        </w:rPr>
        <w:t>[01] 三亚红树林保护区整治</w:t>
      </w:r>
    </w:p>
    <w:p w14:paraId="00100144" w14:textId="00100145">
      <w:pPr>
        <w:spacing w:after="60" w:line="264" w:lineRule="auto"/>
      </w:pPr>
      <w:r>
        <w:rPr>
          <w:sz w:val="21"/>
        </w:rPr>
        <w:t>红树林保护区成“赶海乐园”，三亚：传唤5名俱乐部负责人接受调查</w:t>
      </w:r>
    </w:p>
    <w:p w14:paraId="00100146" w14:textId="00100147">
      <w:pPr>
        <w:spacing w:after="60" w:line="264" w:lineRule="auto"/>
      </w:pPr>
      <w:r>
        <w:rPr>
          <w:sz w:val="21"/>
        </w:rPr>
        <w:t>2026-10-08 澎湃新闻 转引三亚日报</w:t>
      </w:r>
    </w:p>
    <w:p w14:paraId="00100148" w14:textId="00100149">
      <w:pPr>
        <w:spacing w:after="60" w:line="264" w:lineRule="auto"/>
      </w:pPr>
      <w:hyperlink r:id="rId9">
        <w:r>
          <w:rPr>
            <w:color w:val="21556E"/>
            <w:u w:val="single"/>
          </w:rPr>
          <w:t>新闻原文</w:t>
        </w:r>
      </w:hyperlink>
      <w:r>
        <w:rPr>
          <w:sz w:val="21"/>
        </w:rPr>
        <w:t xml:space="preserve"> </w:t>
      </w:r>
      <w:hyperlink r:id="rId19">
        <w:r>
          <w:rPr>
            <w:color w:val="21556E"/>
            <w:u w:val="single"/>
          </w:rPr>
          <w:t>原报道配图</w:t>
        </w:r>
      </w:hyperlink>
    </w:p>
    <w:p w14:paraId="0010014A" w14:textId="0010014B">
      <w:pPr>
        <w:pStyle w:val="Heading2"/>
        <w:spacing w:before="140" w:after="60" w:line="264" w:lineRule="auto"/>
      </w:pPr>
      <w:r>
        <w:rPr>
          <w:sz w:val="28"/>
        </w:rPr>
        <w:t>[02] 连江无居民海岛保护</w:t>
      </w:r>
    </w:p>
    <w:p w14:paraId="0010014C" w14:textId="0010014D">
      <w:pPr>
        <w:spacing w:after="60" w:line="264" w:lineRule="auto"/>
      </w:pPr>
      <w:r>
        <w:rPr>
          <w:sz w:val="21"/>
        </w:rPr>
        <w:t>案鉴 |“海上明珠”法治守护再升级 连江构建无居民海岛全链条保护体系</w:t>
      </w:r>
    </w:p>
    <w:p w14:paraId="0010014E" w14:textId="0010014F">
      <w:pPr>
        <w:spacing w:after="60" w:line="264" w:lineRule="auto"/>
      </w:pPr>
      <w:r>
        <w:rPr>
          <w:sz w:val="21"/>
        </w:rPr>
        <w:t>2026-10-09 福州新闻网</w:t>
      </w:r>
    </w:p>
    <w:p w14:paraId="00100150" w14:textId="00100151">
      <w:pPr>
        <w:spacing w:after="60" w:line="264" w:lineRule="auto"/>
      </w:pPr>
      <w:hyperlink r:id="rId10">
        <w:r>
          <w:rPr>
            <w:color w:val="21556E"/>
            <w:u w:val="single"/>
          </w:rPr>
          <w:t>新闻原文</w:t>
        </w:r>
      </w:hyperlink>
      <w:r>
        <w:rPr>
          <w:sz w:val="21"/>
        </w:rPr>
        <w:t xml:space="preserve"> </w:t>
      </w:r>
      <w:hyperlink r:id="rId20">
        <w:r>
          <w:rPr>
            <w:color w:val="21556E"/>
            <w:u w:val="single"/>
          </w:rPr>
          <w:t>原报道配图</w:t>
        </w:r>
      </w:hyperlink>
    </w:p>
    <w:p w14:paraId="00100152" w14:textId="00100153">
      <w:pPr>
        <w:pStyle w:val="Heading2"/>
        <w:spacing w:before="140" w:after="60" w:line="264" w:lineRule="auto"/>
      </w:pPr>
      <w:r>
        <w:rPr>
          <w:sz w:val="28"/>
        </w:rPr>
        <w:t>[03] 宁德海洋生态修复</w:t>
      </w:r>
    </w:p>
    <w:p w14:paraId="00100154" w14:textId="00100155">
      <w:pPr>
        <w:spacing w:after="60" w:line="264" w:lineRule="auto"/>
      </w:pPr>
      <w:r>
        <w:rPr>
          <w:sz w:val="21"/>
        </w:rPr>
        <w:t>碧海滩涂添新绿——福建宁德海洋生态保护修复项目启动红树林种植</w:t>
      </w:r>
    </w:p>
    <w:p w14:paraId="00100156" w14:textId="00100157">
      <w:pPr>
        <w:spacing w:after="60" w:line="264" w:lineRule="auto"/>
      </w:pPr>
      <w:r>
        <w:rPr>
          <w:sz w:val="21"/>
        </w:rPr>
        <w:t>2026-10-10 中国水运网 新浪财经转载</w:t>
      </w:r>
    </w:p>
    <w:p w14:paraId="00100158" w14:textId="00100159">
      <w:pPr>
        <w:spacing w:after="60" w:line="264" w:lineRule="auto"/>
      </w:pPr>
      <w:hyperlink r:id="rId11">
        <w:r>
          <w:rPr>
            <w:color w:val="21556E"/>
            <w:u w:val="single"/>
          </w:rPr>
          <w:t>新闻原文</w:t>
        </w:r>
      </w:hyperlink>
      <w:r>
        <w:rPr>
          <w:sz w:val="21"/>
        </w:rPr>
        <w:t xml:space="preserve"> </w:t>
      </w:r>
      <w:hyperlink r:id="rId21">
        <w:r>
          <w:rPr>
            <w:color w:val="21556E"/>
            <w:u w:val="single"/>
          </w:rPr>
          <w:t>原报道配图</w:t>
        </w:r>
      </w:hyperlink>
    </w:p>
    <w:p w14:paraId="0010015A" w14:textId="0010015B">
      <w:pPr>
        <w:pStyle w:val="Heading2"/>
        <w:spacing w:before="140" w:after="60" w:line="264" w:lineRule="auto"/>
      </w:pPr>
      <w:r>
        <w:rPr>
          <w:sz w:val="28"/>
        </w:rPr>
        <w:t>[04] 天津固体散装货物监管</w:t>
      </w:r>
    </w:p>
    <w:p w14:paraId="0010015C" w14:textId="0010015D">
      <w:pPr>
        <w:spacing w:after="60" w:line="264" w:lineRule="auto"/>
      </w:pPr>
      <w:r>
        <w:rPr>
          <w:sz w:val="21"/>
        </w:rPr>
        <w:t>筑牢“四道防线”天津海事局全力保障假期固体散装货物运输安全</w:t>
      </w:r>
    </w:p>
    <w:p w14:paraId="0010015E" w14:textId="0010015F">
      <w:pPr>
        <w:spacing w:after="60" w:line="264" w:lineRule="auto"/>
      </w:pPr>
      <w:r>
        <w:rPr>
          <w:sz w:val="21"/>
        </w:rPr>
        <w:t>2026-10-07 中国交通报 中国交通新闻网</w:t>
      </w:r>
    </w:p>
    <w:p w14:paraId="00100160" w14:textId="00100161">
      <w:pPr>
        <w:spacing w:after="60" w:line="264" w:lineRule="auto"/>
      </w:pPr>
      <w:hyperlink r:id="rId12">
        <w:r>
          <w:rPr>
            <w:color w:val="21556E"/>
            <w:u w:val="single"/>
          </w:rPr>
          <w:t>新闻原文</w:t>
        </w:r>
      </w:hyperlink>
      <w:r>
        <w:rPr>
          <w:sz w:val="21"/>
        </w:rPr>
        <w:t xml:space="preserve"> </w:t>
      </w:r>
      <w:hyperlink r:id="rId22">
        <w:r>
          <w:rPr>
            <w:color w:val="21556E"/>
            <w:u w:val="single"/>
          </w:rPr>
          <w:t>原报道配图</w:t>
        </w:r>
      </w:hyperlink>
    </w:p>
    <w:p w14:paraId="00100162" w14:textId="00100163">
      <w:pPr>
        <w:pStyle w:val="Heading2"/>
        <w:spacing w:before="140" w:after="60" w:line="264" w:lineRule="auto"/>
      </w:pPr>
      <w:r>
        <w:rPr>
          <w:sz w:val="28"/>
        </w:rPr>
        <w:t>[05] 潮州港民生物资保畅</w:t>
      </w:r>
    </w:p>
    <w:p w14:paraId="00100164" w14:textId="00100165">
      <w:pPr>
        <w:spacing w:after="60" w:line="264" w:lineRule="auto"/>
      </w:pPr>
      <w:r>
        <w:rPr>
          <w:sz w:val="21"/>
        </w:rPr>
        <w:t>国庆期间潮州港重点民生物资运输40万吨，潮州海事部门做好保障工作</w:t>
      </w:r>
    </w:p>
    <w:p w14:paraId="00100166" w14:textId="00100167">
      <w:pPr>
        <w:spacing w:after="60" w:line="264" w:lineRule="auto"/>
      </w:pPr>
      <w:r>
        <w:rPr>
          <w:sz w:val="21"/>
        </w:rPr>
        <w:t>2026-10-09 羊城派 21经济网转载</w:t>
      </w:r>
    </w:p>
    <w:p w14:paraId="00100168" w14:textId="00100169">
      <w:pPr>
        <w:spacing w:after="60" w:line="264" w:lineRule="auto"/>
      </w:pPr>
      <w:hyperlink r:id="rId13">
        <w:r>
          <w:rPr>
            <w:color w:val="21556E"/>
            <w:u w:val="single"/>
          </w:rPr>
          <w:t>新闻原文</w:t>
        </w:r>
      </w:hyperlink>
      <w:r>
        <w:rPr>
          <w:sz w:val="21"/>
        </w:rPr>
        <w:t xml:space="preserve"> </w:t>
      </w:r>
      <w:hyperlink r:id="rId23">
        <w:r>
          <w:rPr>
            <w:color w:val="21556E"/>
            <w:u w:val="single"/>
          </w:rPr>
          <w:t>原报道配图</w:t>
        </w:r>
      </w:hyperlink>
    </w:p>
    <w:p w14:paraId="0010016A" w14:textId="0010016B">
      <w:pPr>
        <w:pStyle w:val="Heading1"/>
        <w:pageBreakBefore/>
      </w:pPr>
      <w:r>
        <w:t>新闻来源与素材出处 2</w:t>
      </w:r>
    </w:p>
    <w:p w14:paraId="0010016C" w14:textId="0010016D">
      <w:pPr>
        <w:spacing w:after="60" w:line="264" w:lineRule="auto"/>
      </w:pPr>
      <w:r>
        <w:rPr>
          <w:sz w:val="21"/>
        </w:rPr>
        <w:t>以下原文均已核对内容。核查截至2026年10月12日。PPT事实页的编号与此处一致。</w:t>
      </w:r>
    </w:p>
    <w:p w14:paraId="0010016E" w14:textId="0010016F">
      <w:pPr>
        <w:pStyle w:val="Heading2"/>
        <w:spacing w:before="140" w:after="60" w:line="264" w:lineRule="auto"/>
      </w:pPr>
      <w:r>
        <w:rPr>
          <w:sz w:val="28"/>
        </w:rPr>
        <w:t>[06] 金塘港区LNG加注</w:t>
      </w:r>
    </w:p>
    <w:p w14:paraId="00100170" w14:textId="00100171">
      <w:pPr>
        <w:spacing w:after="60" w:line="264" w:lineRule="auto"/>
      </w:pPr>
      <w:r>
        <w:rPr>
          <w:sz w:val="21"/>
        </w:rPr>
        <w:t>宁波舟山港LNG加注覆盖金塘港区</w:t>
      </w:r>
    </w:p>
    <w:p w14:paraId="00100172" w14:textId="00100173">
      <w:pPr>
        <w:spacing w:after="60" w:line="264" w:lineRule="auto"/>
      </w:pPr>
      <w:r>
        <w:rPr>
          <w:sz w:val="21"/>
        </w:rPr>
        <w:t>2026-10-06 中国交通报 中国交通新闻网</w:t>
      </w:r>
    </w:p>
    <w:p w14:paraId="00100174" w14:textId="00100175">
      <w:pPr>
        <w:spacing w:after="60" w:line="264" w:lineRule="auto"/>
      </w:pPr>
      <w:hyperlink r:id="rId14">
        <w:r>
          <w:rPr>
            <w:color w:val="21556E"/>
            <w:u w:val="single"/>
          </w:rPr>
          <w:t>新闻原文</w:t>
        </w:r>
      </w:hyperlink>
      <w:r>
        <w:rPr>
          <w:sz w:val="21"/>
        </w:rPr>
        <w:t xml:space="preserve"> </w:t>
      </w:r>
      <w:hyperlink r:id="rId24">
        <w:r>
          <w:rPr>
            <w:color w:val="21556E"/>
            <w:u w:val="single"/>
          </w:rPr>
          <w:t>原报道配图</w:t>
        </w:r>
      </w:hyperlink>
    </w:p>
    <w:p w14:paraId="00100176" w14:textId="00100177">
      <w:pPr>
        <w:pStyle w:val="Heading2"/>
        <w:spacing w:before="140" w:after="60" w:line="264" w:lineRule="auto"/>
      </w:pPr>
      <w:r>
        <w:rPr>
          <w:sz w:val="28"/>
        </w:rPr>
        <w:t>[07] 海洋地球工程研究框架</w:t>
      </w:r>
    </w:p>
    <w:p w14:paraId="00100178" w14:textId="00100179">
      <w:pPr>
        <w:spacing w:after="60" w:line="264" w:lineRule="auto"/>
      </w:pPr>
      <w:r>
        <w:rPr>
          <w:sz w:val="21"/>
        </w:rPr>
        <w:t>IMO adopts frameworks to assess marine geoengineering research activities</w:t>
      </w:r>
    </w:p>
    <w:p w14:paraId="0010017A" w14:textId="0010017B">
      <w:pPr>
        <w:spacing w:after="60" w:line="264" w:lineRule="auto"/>
      </w:pPr>
      <w:r>
        <w:rPr>
          <w:sz w:val="21"/>
        </w:rPr>
        <w:t>2026-10-09 国际海事组织 IMO</w:t>
      </w:r>
    </w:p>
    <w:p w14:paraId="0010017C" w14:textId="0010017D">
      <w:pPr>
        <w:spacing w:after="60" w:line="264" w:lineRule="auto"/>
      </w:pPr>
      <w:hyperlink r:id="rId15">
        <w:r>
          <w:rPr>
            <w:color w:val="21556E"/>
            <w:u w:val="single"/>
          </w:rPr>
          <w:t>新闻原文</w:t>
        </w:r>
      </w:hyperlink>
      <w:r>
        <w:rPr>
          <w:sz w:val="21"/>
        </w:rPr>
        <w:t xml:space="preserve"> </w:t>
      </w:r>
      <w:hyperlink r:id="rId25">
        <w:r>
          <w:rPr>
            <w:color w:val="21556E"/>
            <w:u w:val="single"/>
          </w:rPr>
          <w:t>原报道配图</w:t>
        </w:r>
      </w:hyperlink>
    </w:p>
    <w:p w14:paraId="0010017E" w14:textId="0010017F">
      <w:pPr>
        <w:pStyle w:val="Heading2"/>
        <w:spacing w:before="140" w:after="60" w:line="264" w:lineRule="auto"/>
      </w:pPr>
      <w:r>
        <w:rPr>
          <w:sz w:val="28"/>
        </w:rPr>
        <w:t>[08] 地中海污染合作五十年</w:t>
      </w:r>
    </w:p>
    <w:p w14:paraId="00100180" w14:textId="00100181">
      <w:pPr>
        <w:spacing w:after="60" w:line="264" w:lineRule="auto"/>
      </w:pPr>
      <w:r>
        <w:rPr>
          <w:sz w:val="21"/>
        </w:rPr>
        <w:t>REMPEC marks 50 years of protecting the Mediterranean marine environment</w:t>
      </w:r>
    </w:p>
    <w:p w14:paraId="00100182" w14:textId="00100183">
      <w:pPr>
        <w:spacing w:after="60" w:line="264" w:lineRule="auto"/>
      </w:pPr>
      <w:r>
        <w:rPr>
          <w:sz w:val="21"/>
        </w:rPr>
        <w:t>2026-10-06 国际海事组织 IMO</w:t>
      </w:r>
    </w:p>
    <w:p w14:paraId="00100184" w14:textId="00100185">
      <w:pPr>
        <w:spacing w:after="60" w:line="264" w:lineRule="auto"/>
      </w:pPr>
      <w:hyperlink r:id="rId16">
        <w:r>
          <w:rPr>
            <w:color w:val="21556E"/>
            <w:u w:val="single"/>
          </w:rPr>
          <w:t>新闻原文</w:t>
        </w:r>
      </w:hyperlink>
      <w:r>
        <w:rPr>
          <w:sz w:val="21"/>
        </w:rPr>
        <w:t xml:space="preserve"> </w:t>
      </w:r>
      <w:hyperlink r:id="rId26">
        <w:r>
          <w:rPr>
            <w:color w:val="21556E"/>
            <w:u w:val="single"/>
          </w:rPr>
          <w:t>原报道配图</w:t>
        </w:r>
      </w:hyperlink>
    </w:p>
    <w:p w14:paraId="00100186" w14:textId="00100187">
      <w:pPr>
        <w:pStyle w:val="Heading2"/>
        <w:spacing w:before="140" w:after="60" w:line="264" w:lineRule="auto"/>
      </w:pPr>
      <w:r>
        <w:rPr>
          <w:sz w:val="28"/>
        </w:rPr>
        <w:t>[09] 塞内加尔海运单一窗口</w:t>
      </w:r>
    </w:p>
    <w:p w14:paraId="00100188" w14:textId="00100189">
      <w:pPr>
        <w:spacing w:after="60" w:line="264" w:lineRule="auto"/>
      </w:pPr>
      <w:r>
        <w:rPr>
          <w:sz w:val="21"/>
        </w:rPr>
        <w:t>Senegal takes steps to digitalize its ports</w:t>
      </w:r>
    </w:p>
    <w:p w14:paraId="0010018A" w14:textId="0010018B">
      <w:pPr>
        <w:spacing w:after="60" w:line="264" w:lineRule="auto"/>
      </w:pPr>
      <w:r>
        <w:rPr>
          <w:sz w:val="21"/>
        </w:rPr>
        <w:t>2026-10-09 国际海事组织 IMO</w:t>
      </w:r>
    </w:p>
    <w:p w14:paraId="0010018C" w14:textId="0010018D">
      <w:pPr>
        <w:spacing w:after="60" w:line="264" w:lineRule="auto"/>
      </w:pPr>
      <w:hyperlink r:id="rId17">
        <w:r>
          <w:rPr>
            <w:color w:val="21556E"/>
            <w:u w:val="single"/>
          </w:rPr>
          <w:t>新闻原文</w:t>
        </w:r>
      </w:hyperlink>
      <w:r>
        <w:rPr>
          <w:sz w:val="21"/>
        </w:rPr>
        <w:t xml:space="preserve"> </w:t>
      </w:r>
      <w:hyperlink r:id="rId27">
        <w:r>
          <w:rPr>
            <w:color w:val="21556E"/>
            <w:u w:val="single"/>
          </w:rPr>
          <w:t>原报道配图</w:t>
        </w:r>
      </w:hyperlink>
    </w:p>
    <w:p w14:paraId="0010018E" w14:textId="0010018F">
      <w:pPr>
        <w:pStyle w:val="Heading2"/>
        <w:spacing w:before="140" w:after="60" w:line="264" w:lineRule="auto"/>
      </w:pPr>
      <w:r>
        <w:rPr>
          <w:sz w:val="28"/>
        </w:rPr>
        <w:t>[10] 公海条约秘书处选址</w:t>
      </w:r>
    </w:p>
    <w:p w14:paraId="00100190" w14:textId="00100191">
      <w:pPr>
        <w:spacing w:after="60" w:line="264" w:lineRule="auto"/>
      </w:pPr>
      <w:r>
        <w:rPr>
          <w:sz w:val="21"/>
        </w:rPr>
        <w:t>Race to host High Seas Treaty HQ heats up as Chile reaffirms bid</w:t>
      </w:r>
    </w:p>
    <w:p w14:paraId="00100192" w14:textId="00100193">
      <w:pPr>
        <w:spacing w:after="60" w:line="264" w:lineRule="auto"/>
      </w:pPr>
      <w:r>
        <w:rPr>
          <w:sz w:val="21"/>
        </w:rPr>
        <w:t>2026-10-06 Climate Home News</w:t>
      </w:r>
    </w:p>
    <w:p w14:paraId="00100194" w14:textId="00100195">
      <w:pPr>
        <w:spacing w:after="60" w:line="264" w:lineRule="auto"/>
      </w:pPr>
      <w:hyperlink r:id="rId18">
        <w:r>
          <w:rPr>
            <w:color w:val="21556E"/>
            <w:u w:val="single"/>
          </w:rPr>
          <w:t>新闻原文</w:t>
        </w:r>
      </w:hyperlink>
      <w:r>
        <w:rPr>
          <w:sz w:val="21"/>
        </w:rPr>
        <w:t xml:space="preserve"> </w:t>
      </w:r>
      <w:hyperlink r:id="rId28">
        <w:r>
          <w:rPr>
            <w:color w:val="21556E"/>
            <w:u w:val="single"/>
          </w:rPr>
          <w:t>原报道配图</w:t>
        </w:r>
      </w:hyperlink>
    </w:p>
    <w:p w14:paraId="00100196" w14:textId="00100197">
      <w:pPr>
        <w:spacing w:after="60" w:line="264" w:lineRule="auto"/>
      </w:pPr>
      <w:r>
        <w:rPr>
          <w:sz w:val="21"/>
        </w:rPr>
        <w:t>封面与总结使用海面主题示意图，来源为Unsplash。新闻03配图为原报道项目效果图，其他新闻配图均取自各自报道。图片仅作为课堂汇报素材，来源在PPT备注中保留。</w:t>
      </w:r>
    </w:p>
    <w:p w14:paraId="00100198" w14:textId="00100199">
      <w:pPr>
        <w:spacing w:after="60" w:line="264" w:lineRule="auto"/>
      </w:pPr>
      <w:hyperlink r:id="rId29">
        <w:r>
          <w:rPr>
            <w:color w:val="21556E"/>
            <w:u w:val="single"/>
          </w:rPr>
          <w:t>海面背景图片来源</w:t>
        </w:r>
      </w:hyperlink>
    </w:p>
    <w:sectPr w:rsidRPr="0006063C" w:rsidR="00FC693F" w:rsidSect="00034616">
      <w:footerReference w:type="default" r:id="rId30"/>
      <w:pgSz w:w="11906" w:h="16838"/>
      <w:pgMar w:top="130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19A" w14:textId="0010019B">
    <w:pPr>
      <w:pStyle w:val="Footer"/>
      <w:jc w:val="center"/>
    </w:pPr>
    <w:r>
      <w:rPr>
        <w:sz w:val="18"/>
      </w:rPr>
      <w:t xml:space="preserve">海洋时事与法治观察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YaHei" w:hAnsi="Microsoft YaHei" w:eastAsia="Microsoft YaHei" w:cs="Microsoft YaHei"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pacing w:after="160" w:line="317" w:lineRule="auto"/>
    </w:pPr>
    <w:rPr>
      <w:rFonts w:ascii="Microsoft YaHei" w:hAnsi="Microsoft YaHei" w:eastAsia="Microsoft YaHe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317" w:lineRule="auto"/>
      <w:outlineLvl w:val="0"/>
    </w:pPr>
    <w:rPr>
      <w:rFonts w:ascii="Microsoft YaHei" w:hAnsi="Microsoft YaHei" w:eastAsia="Microsoft YaHei" w:asciiTheme="majorHAnsi" w:hAnsiTheme="majorHAnsi" w:eastAsiaTheme="majorEastAsia" w:cstheme="majorBid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317" w:lineRule="auto"/>
      <w:outlineLvl w:val="1"/>
    </w:pPr>
    <w:rPr>
      <w:rFonts w:ascii="Microsoft YaHei" w:hAnsi="Microsoft YaHei" w:eastAsia="Microsoft YaHei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317" w:lineRule="auto"/>
      <w:outlineLvl w:val="2"/>
    </w:pPr>
    <w:rPr>
      <w:rFonts w:ascii="Microsoft YaHei" w:hAnsi="Microsoft YaHei" w:eastAsia="Microsoft YaHei" w:asciiTheme="majorHAnsi" w:hAnsiTheme="majorHAnsi" w:eastAsiaTheme="majorEastAsia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317" w:lineRule="auto"/>
      <w:contextualSpacing/>
    </w:pPr>
    <w:rPr>
      <w:rFonts w:ascii="Microsoft YaHei" w:hAnsi="Microsoft YaHei" w:eastAsia="Microsoft YaHei" w:asciiTheme="majorHAnsi" w:hAnsiTheme="majorHAnsi" w:eastAsiaTheme="majorEastAsia" w:cstheme="majorBidi"/>
      <w:color w:val="000000"/>
      <w:spacing w:val="5"/>
      <w:kern w:val="28"/>
      <w:sz w:val="5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317" w:lineRule="auto"/>
    </w:pPr>
    <w:rPr>
      <w:rFonts w:ascii="Microsoft YaHei" w:hAnsi="Microsoft YaHei" w:eastAsia="Microsoft YaHei" w:asciiTheme="majorHAnsi" w:hAnsiTheme="majorHAnsi" w:eastAsiaTheme="majorEastAsia" w:cstheme="majorBidi"/>
      <w:i/>
      <w:iCs/>
      <w:color w:val="000000"/>
      <w:spacing w:val="15"/>
      <w:sz w:val="28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.thepaper.cn/newsDetail_forward_34210667" TargetMode="External"/><Relationship Id="rId10" Type="http://schemas.openxmlformats.org/officeDocument/2006/relationships/hyperlink" Target="https://m.fznews.com.cn/node/24361/20261009/3eCX07xj0W.shtml" TargetMode="External"/><Relationship Id="rId11" Type="http://schemas.openxmlformats.org/officeDocument/2006/relationships/hyperlink" Target="https://finance.sina.com.cn/jjxw/2026-10-10/doc-iniututc2037582.shtml" TargetMode="External"/><Relationship Id="rId12" Type="http://schemas.openxmlformats.org/officeDocument/2006/relationships/hyperlink" Target="https://www.zgjtb.com/m/2026-10/07/content_540277.html" TargetMode="External"/><Relationship Id="rId13" Type="http://schemas.openxmlformats.org/officeDocument/2006/relationships/hyperlink" Target="https://www.21jingji.com/article/20261009/herald/1989902377cbe99324709eeac605ad7c.html" TargetMode="External"/><Relationship Id="rId14" Type="http://schemas.openxmlformats.org/officeDocument/2006/relationships/hyperlink" Target="https://www.zgjtb.com/m/2026-10/06/content_540204.html" TargetMode="External"/><Relationship Id="rId15" Type="http://schemas.openxmlformats.org/officeDocument/2006/relationships/hyperlink" Target="https://www.imo.org/en/MediaCentre/PressBriefings/pages/IMO-adopts-marine-geoengineering-frameworks-for-research-activities.aspx" TargetMode="External"/><Relationship Id="rId16" Type="http://schemas.openxmlformats.org/officeDocument/2006/relationships/hyperlink" Target="https://www.imo.org/en/MediaCentre/Pages/WhatsNew-2506.aspx" TargetMode="External"/><Relationship Id="rId17" Type="http://schemas.openxmlformats.org/officeDocument/2006/relationships/hyperlink" Target="https://www.imo.org/en/mediacentre/pages/WhatsNew-2507.aspx" TargetMode="External"/><Relationship Id="rId18" Type="http://schemas.openxmlformats.org/officeDocument/2006/relationships/hyperlink" Target="https://www.climatechangenews.com/2026/10/06/race-to-host-high-seas-treaty-hq-heats-up-as-chile-reaffirms-bid/" TargetMode="External"/><Relationship Id="rId19" Type="http://schemas.openxmlformats.org/officeDocument/2006/relationships/hyperlink" Target="https://imgpai.thepaper.cn/newpai/image/20261008/07e8a53d-3e21-4161-91fd-c11d1236699c.jpg" TargetMode="External"/><Relationship Id="rId20" Type="http://schemas.openxmlformats.org/officeDocument/2006/relationships/hyperlink" Target="https://image.fznews.com.cn/app/pic/2026-10/09/659226_0650e300-d547-4df7-a93f-73dc42bdd7f9.jpg" TargetMode="External"/><Relationship Id="rId21" Type="http://schemas.openxmlformats.org/officeDocument/2006/relationships/hyperlink" Target="https://n.sinaimg.cn/spider20261010/235/w1024h811/20261010/0a39-d5d34fdb4ff0bea08abeab329a4572f9.jpg" TargetMode="External"/><Relationship Id="rId22" Type="http://schemas.openxmlformats.org/officeDocument/2006/relationships/hyperlink" Target="https://www.zgjtb.com/m/img/2026-10/07/540277_affdc600-74ad-4a63-9ee4-1ee56f59cfb8.jpg.2" TargetMode="External"/><Relationship Id="rId23" Type="http://schemas.openxmlformats.org/officeDocument/2006/relationships/hyperlink" Target="https://ocmsmedia.sfccn.com/vod-4310da/image/default/DE6B82AD0D504DFBA36EC434E438FDEF-6-2.jpg" TargetMode="External"/><Relationship Id="rId24" Type="http://schemas.openxmlformats.org/officeDocument/2006/relationships/hyperlink" Target="https://www.zgjtb.com/m/img/2026-10/06/540204_727e2a94-1f50-4ab7-9f4f-9fb19819e2ae.png.2" TargetMode="External"/><Relationship Id="rId25" Type="http://schemas.openxmlformats.org/officeDocument/2006/relationships/hyperlink" Target="https://wwwcdn.imo.org/localresources/en/MediaCentre/WhatsNew/PublishingImages/LCLP_Oct 2026_banner_medium.jpg" TargetMode="External"/><Relationship Id="rId26" Type="http://schemas.openxmlformats.org/officeDocument/2006/relationships/hyperlink" Target="https://wwwcdn.imo.org/localresources/en/MediaCentre/WhatsNew/PublishingImages/REMPEC 50th_medium.jpg" TargetMode="External"/><Relationship Id="rId27" Type="http://schemas.openxmlformats.org/officeDocument/2006/relationships/hyperlink" Target="https://wwwcdn.imo.org/localresources/en/MediaCentre/WhatsNew/PublishingImages/Senegal WN_medium.jpg" TargetMode="External"/><Relationship Id="rId28" Type="http://schemas.openxmlformats.org/officeDocument/2006/relationships/hyperlink" Target="https://www.climatechangenews.com/wp-content/files/2026/10/image00009_4-1440x810.png" TargetMode="External"/><Relationship Id="rId29" Type="http://schemas.openxmlformats.org/officeDocument/2006/relationships/hyperlink" Target="https://images.unsplash.com/photo-1518837695005-2083093ee35b?w=1920&amp;q=85&amp;fit=crop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Macintosh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0</ap:CharactersWithSpaces>
  <ap:SharedDoc>false</ap:SharedDoc>
  <ap:HyperlinkBase/>
  <ap:HyperlinksChanged>false</ap:HyperlinksChanged>
  <ap:AppVersion>14.0000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一周海洋时事与法治观察 十人演讲稿</dc:title>
  <dc:subject>2026年10月6日至12日 海洋法治课堂汇报</dc:subject>
  <dc:creator>海洋法治汇报小组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1.0.156</vt:lpwstr>
  </op:property>
  <op:property fmtid="{D5CDD505-2E9C-101B-9397-08002B2CF9AE}" pid="3" name="OfficeCLI.LastModified">
    <vt:lpwstr xmlns:vt="http://schemas.openxmlformats.org/officeDocument/2006/docPropsVTypes">2026-10-12T13:28:14Z</vt:lpwstr>
  </op:property>
</op:Properties>
</file>