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F581B" w14:textId="25D7EC13" w:rsidR="004B3707" w:rsidRPr="004B3707" w:rsidRDefault="004B3707" w:rsidP="004B3707">
      <w:pPr>
        <w:jc w:val="left"/>
        <w:rPr>
          <w:rFonts w:ascii="Taipei Sans TC Beta" w:hAnsi="Taipei Sans TC Beta" w:cs="方正仿宋_GBK"/>
          <w:b/>
          <w:bCs/>
          <w:sz w:val="20"/>
          <w:szCs w:val="20"/>
        </w:rPr>
      </w:pPr>
      <w:r w:rsidRPr="004B3707">
        <w:rPr>
          <w:rFonts w:ascii="Taipei Sans TC Beta" w:eastAsia="Taipei Sans TC Beta" w:hAnsi="Taipei Sans TC Beta" w:cs="方正仿宋_GBK" w:hint="eastAsia"/>
          <w:b/>
          <w:bCs/>
          <w:sz w:val="20"/>
          <w:szCs w:val="20"/>
        </w:rPr>
        <w:t>项目名称：</w:t>
      </w:r>
      <w:r>
        <w:rPr>
          <w:rFonts w:ascii="Taipei Sans TC Beta" w:eastAsia="Taipei Sans TC Beta" w:hAnsi="Taipei Sans TC Beta" w:cs="方正仿宋_GBK" w:hint="eastAsia"/>
          <w:b/>
          <w:bCs/>
          <w:sz w:val="20"/>
          <w:szCs w:val="20"/>
        </w:rPr>
        <w:t>湖</w:t>
      </w:r>
      <w:proofErr w:type="gramStart"/>
      <w:r>
        <w:rPr>
          <w:rFonts w:ascii="Taipei Sans TC Beta" w:eastAsia="Taipei Sans TC Beta" w:hAnsi="Taipei Sans TC Beta" w:cs="方正仿宋_GBK" w:hint="eastAsia"/>
          <w:b/>
          <w:bCs/>
          <w:sz w:val="20"/>
          <w:szCs w:val="20"/>
        </w:rPr>
        <w:t>塘疏院</w:t>
      </w:r>
      <w:proofErr w:type="gramEnd"/>
    </w:p>
    <w:p w14:paraId="75B4013C" w14:textId="64A4FCF6" w:rsidR="004B3707" w:rsidRPr="004B3707" w:rsidRDefault="004B3707" w:rsidP="004B3707">
      <w:pPr>
        <w:jc w:val="left"/>
        <w:rPr>
          <w:rFonts w:ascii="Montserrat Light" w:eastAsia="黑体" w:hAnsi="Montserrat Light" w:cs="方正仿宋_GBK"/>
          <w:color w:val="808080" w:themeColor="background1" w:themeShade="80"/>
          <w:sz w:val="20"/>
          <w:szCs w:val="20"/>
        </w:rPr>
      </w:pPr>
      <w:r w:rsidRPr="004B3707">
        <w:rPr>
          <w:rFonts w:ascii="Montserrat Light" w:eastAsia="黑体" w:hAnsi="Montserrat Light" w:cs="方正仿宋_GBK"/>
          <w:color w:val="808080" w:themeColor="background1" w:themeShade="80"/>
          <w:sz w:val="20"/>
          <w:szCs w:val="20"/>
        </w:rPr>
        <w:t xml:space="preserve">Name: </w:t>
      </w:r>
      <w:proofErr w:type="spellStart"/>
      <w:r>
        <w:rPr>
          <w:rFonts w:ascii="Montserrat Light" w:eastAsia="黑体" w:hAnsi="Montserrat Light" w:cs="方正仿宋_GBK"/>
          <w:color w:val="808080" w:themeColor="background1" w:themeShade="80"/>
          <w:sz w:val="20"/>
          <w:szCs w:val="20"/>
        </w:rPr>
        <w:t>Shu</w:t>
      </w:r>
      <w:proofErr w:type="spellEnd"/>
      <w:r>
        <w:rPr>
          <w:rFonts w:ascii="Montserrat Light" w:eastAsia="黑体" w:hAnsi="Montserrat Light" w:cs="方正仿宋_GBK"/>
          <w:color w:val="808080" w:themeColor="background1" w:themeShade="80"/>
          <w:sz w:val="20"/>
          <w:szCs w:val="20"/>
        </w:rPr>
        <w:t xml:space="preserve"> Academy in </w:t>
      </w:r>
      <w:proofErr w:type="spellStart"/>
      <w:r>
        <w:rPr>
          <w:rFonts w:ascii="Montserrat Light" w:eastAsia="黑体" w:hAnsi="Montserrat Light" w:cs="方正仿宋_GBK"/>
          <w:color w:val="808080" w:themeColor="background1" w:themeShade="80"/>
          <w:sz w:val="20"/>
          <w:szCs w:val="20"/>
        </w:rPr>
        <w:t>Hutang</w:t>
      </w:r>
      <w:proofErr w:type="spellEnd"/>
    </w:p>
    <w:p w14:paraId="15A05D8D" w14:textId="7C26F2A1" w:rsidR="004B3707" w:rsidRPr="004B3707" w:rsidRDefault="004B3707" w:rsidP="004B3707">
      <w:pPr>
        <w:jc w:val="left"/>
        <w:rPr>
          <w:rFonts w:ascii="Taipei Sans TC Beta" w:eastAsia="Taipei Sans TC Beta" w:hAnsi="Taipei Sans TC Beta" w:cs="方正仿宋_GBK"/>
          <w:b/>
          <w:bCs/>
          <w:sz w:val="20"/>
          <w:szCs w:val="20"/>
        </w:rPr>
      </w:pPr>
      <w:r w:rsidRPr="004B3707">
        <w:rPr>
          <w:rFonts w:ascii="Taipei Sans TC Beta" w:eastAsia="Taipei Sans TC Beta" w:hAnsi="Taipei Sans TC Beta" w:cs="方正仿宋_GBK" w:hint="eastAsia"/>
          <w:b/>
          <w:bCs/>
          <w:sz w:val="20"/>
          <w:szCs w:val="20"/>
        </w:rPr>
        <w:t>项目区位：</w:t>
      </w:r>
      <w:r>
        <w:rPr>
          <w:rFonts w:ascii="Taipei Sans TC Beta" w:eastAsia="Taipei Sans TC Beta" w:hAnsi="Taipei Sans TC Beta" w:cs="方正仿宋_GBK" w:hint="eastAsia"/>
          <w:b/>
          <w:bCs/>
          <w:sz w:val="20"/>
          <w:szCs w:val="20"/>
        </w:rPr>
        <w:t>广东开平</w:t>
      </w:r>
    </w:p>
    <w:p w14:paraId="44319C5A" w14:textId="553D429D" w:rsidR="004B3707" w:rsidRPr="004B3707" w:rsidRDefault="004B3707" w:rsidP="004B3707">
      <w:pPr>
        <w:jc w:val="left"/>
        <w:rPr>
          <w:rFonts w:ascii="Montserrat Light" w:eastAsia="黑体" w:hAnsi="Montserrat Light" w:cs="方正仿宋_GBK"/>
          <w:color w:val="808080" w:themeColor="background1" w:themeShade="80"/>
          <w:sz w:val="20"/>
          <w:szCs w:val="20"/>
        </w:rPr>
      </w:pPr>
      <w:r w:rsidRPr="004B3707">
        <w:rPr>
          <w:rFonts w:ascii="Montserrat Light" w:eastAsia="黑体" w:hAnsi="Montserrat Light" w:cs="方正仿宋_GBK"/>
          <w:color w:val="808080" w:themeColor="background1" w:themeShade="80"/>
          <w:sz w:val="20"/>
          <w:szCs w:val="20"/>
        </w:rPr>
        <w:t xml:space="preserve">Location: </w:t>
      </w:r>
      <w:proofErr w:type="spellStart"/>
      <w:r>
        <w:rPr>
          <w:rFonts w:ascii="Montserrat Light" w:eastAsia="黑体" w:hAnsi="Montserrat Light" w:cs="方正仿宋_GBK"/>
          <w:color w:val="808080" w:themeColor="background1" w:themeShade="80"/>
          <w:sz w:val="20"/>
          <w:szCs w:val="20"/>
        </w:rPr>
        <w:t>Kaiping</w:t>
      </w:r>
      <w:proofErr w:type="spellEnd"/>
      <w:r w:rsidRPr="004B3707">
        <w:rPr>
          <w:rFonts w:ascii="Montserrat Light" w:eastAsia="黑体" w:hAnsi="Montserrat Light" w:cs="方正仿宋_GBK"/>
          <w:color w:val="808080" w:themeColor="background1" w:themeShade="80"/>
          <w:sz w:val="20"/>
          <w:szCs w:val="20"/>
        </w:rPr>
        <w:t xml:space="preserve">, </w:t>
      </w:r>
      <w:r>
        <w:rPr>
          <w:rFonts w:ascii="Montserrat Light" w:eastAsia="黑体" w:hAnsi="Montserrat Light" w:cs="方正仿宋_GBK"/>
          <w:color w:val="808080" w:themeColor="background1" w:themeShade="80"/>
          <w:sz w:val="20"/>
          <w:szCs w:val="20"/>
        </w:rPr>
        <w:t>Guangdong</w:t>
      </w:r>
      <w:bookmarkStart w:id="0" w:name="_GoBack"/>
      <w:bookmarkEnd w:id="0"/>
    </w:p>
    <w:p w14:paraId="11848473" w14:textId="787423F8" w:rsidR="004B3707" w:rsidRPr="004B3707" w:rsidRDefault="004B3707" w:rsidP="004B3707">
      <w:pPr>
        <w:jc w:val="left"/>
        <w:rPr>
          <w:rFonts w:ascii="Taipei Sans TC Beta" w:eastAsia="Taipei Sans TC Beta" w:hAnsi="Taipei Sans TC Beta" w:cs="方正仿宋_GBK"/>
          <w:b/>
          <w:bCs/>
          <w:sz w:val="20"/>
          <w:szCs w:val="20"/>
        </w:rPr>
      </w:pPr>
      <w:r>
        <w:rPr>
          <w:rFonts w:ascii="Taipei Sans TC Beta" w:eastAsia="Taipei Sans TC Beta" w:hAnsi="Taipei Sans TC Beta" w:cs="方正仿宋_GBK" w:hint="eastAsia"/>
          <w:b/>
          <w:bCs/>
          <w:sz w:val="20"/>
          <w:szCs w:val="20"/>
        </w:rPr>
        <w:t>设计范围：</w:t>
      </w:r>
      <w:r w:rsidRPr="004B3707">
        <w:rPr>
          <w:rFonts w:ascii="Taipei Sans TC Beta" w:eastAsia="Taipei Sans TC Beta" w:hAnsi="Taipei Sans TC Beta" w:cs="方正仿宋_GBK" w:hint="eastAsia"/>
          <w:b/>
          <w:bCs/>
          <w:sz w:val="20"/>
          <w:szCs w:val="20"/>
        </w:rPr>
        <w:t>建筑</w:t>
      </w:r>
      <w:r w:rsidRPr="004B3707">
        <w:rPr>
          <w:rFonts w:ascii="Taipei Sans TC Beta" w:eastAsia="Taipei Sans TC Beta" w:hAnsi="Taipei Sans TC Beta" w:cs="方正仿宋_GBK"/>
          <w:b/>
          <w:bCs/>
          <w:sz w:val="20"/>
          <w:szCs w:val="20"/>
        </w:rPr>
        <w:t>/</w:t>
      </w:r>
      <w:r>
        <w:rPr>
          <w:rFonts w:ascii="Taipei Sans TC Beta" w:eastAsia="Taipei Sans TC Beta" w:hAnsi="Taipei Sans TC Beta" w:cs="方正仿宋_GBK" w:hint="eastAsia"/>
          <w:b/>
          <w:bCs/>
          <w:sz w:val="20"/>
          <w:szCs w:val="20"/>
        </w:rPr>
        <w:t>改造</w:t>
      </w:r>
    </w:p>
    <w:p w14:paraId="23D9EE32" w14:textId="0690FDB4" w:rsidR="004B3707" w:rsidRPr="004B3707" w:rsidRDefault="004B3707" w:rsidP="004B3707">
      <w:pPr>
        <w:jc w:val="left"/>
        <w:rPr>
          <w:rFonts w:ascii="Montserrat Light" w:eastAsia="黑体" w:hAnsi="Montserrat Light" w:cs="方正仿宋_GBK"/>
          <w:color w:val="808080" w:themeColor="background1" w:themeShade="80"/>
          <w:sz w:val="20"/>
          <w:szCs w:val="20"/>
        </w:rPr>
      </w:pPr>
      <w:r w:rsidRPr="004B3707">
        <w:rPr>
          <w:rFonts w:ascii="Montserrat Light" w:eastAsia="黑体" w:hAnsi="Montserrat Light" w:cs="方正仿宋_GBK"/>
          <w:color w:val="808080" w:themeColor="background1" w:themeShade="80"/>
          <w:sz w:val="20"/>
          <w:szCs w:val="20"/>
        </w:rPr>
        <w:t>Task: Architecture/</w:t>
      </w:r>
      <w:r>
        <w:rPr>
          <w:rFonts w:ascii="Montserrat Light" w:eastAsia="黑体" w:hAnsi="Montserrat Light" w:cs="方正仿宋_GBK"/>
          <w:color w:val="808080" w:themeColor="background1" w:themeShade="80"/>
          <w:sz w:val="20"/>
          <w:szCs w:val="20"/>
        </w:rPr>
        <w:t>Renovation</w:t>
      </w:r>
    </w:p>
    <w:p w14:paraId="7A93B366" w14:textId="55F54084" w:rsidR="004B3707" w:rsidRPr="004B3707" w:rsidRDefault="004B3707" w:rsidP="004B3707">
      <w:pPr>
        <w:autoSpaceDE w:val="0"/>
        <w:autoSpaceDN w:val="0"/>
        <w:adjustRightInd w:val="0"/>
        <w:jc w:val="left"/>
        <w:rPr>
          <w:rFonts w:ascii="Taipei Sans TC Beta" w:eastAsia="Taipei Sans TC Beta" w:hAnsi="Taipei Sans TC Beta" w:cs="方正仿宋_GBK"/>
          <w:b/>
          <w:bCs/>
          <w:sz w:val="20"/>
          <w:szCs w:val="20"/>
        </w:rPr>
      </w:pPr>
      <w:r w:rsidRPr="004B3707">
        <w:rPr>
          <w:rFonts w:ascii="Taipei Sans TC Beta" w:eastAsia="Taipei Sans TC Beta" w:hAnsi="Taipei Sans TC Beta" w:cs="方正仿宋_GBK" w:hint="eastAsia"/>
          <w:b/>
          <w:bCs/>
          <w:sz w:val="20"/>
          <w:szCs w:val="20"/>
        </w:rPr>
        <w:t>获奖情况：开平塘口乡建设</w:t>
      </w:r>
      <w:proofErr w:type="gramStart"/>
      <w:r w:rsidRPr="004B3707">
        <w:rPr>
          <w:rFonts w:ascii="Taipei Sans TC Beta" w:eastAsia="Taipei Sans TC Beta" w:hAnsi="Taipei Sans TC Beta" w:cs="方正仿宋_GBK" w:hint="eastAsia"/>
          <w:b/>
          <w:bCs/>
          <w:sz w:val="20"/>
          <w:szCs w:val="20"/>
        </w:rPr>
        <w:t>计大赛</w:t>
      </w:r>
      <w:proofErr w:type="gramEnd"/>
      <w:r>
        <w:rPr>
          <w:rFonts w:ascii="Taipei Sans TC Beta" w:hAnsi="Taipei Sans TC Beta" w:cs="方正仿宋_GBK" w:hint="eastAsia"/>
          <w:b/>
          <w:bCs/>
          <w:sz w:val="20"/>
          <w:szCs w:val="20"/>
        </w:rPr>
        <w:t xml:space="preserve"> </w:t>
      </w:r>
      <w:r>
        <w:rPr>
          <w:rFonts w:ascii="Taipei Sans TC Beta" w:eastAsia="Taipei Sans TC Beta" w:hAnsi="Taipei Sans TC Beta" w:cs="方正仿宋_GBK" w:hint="eastAsia"/>
          <w:b/>
          <w:bCs/>
          <w:sz w:val="20"/>
          <w:szCs w:val="20"/>
        </w:rPr>
        <w:t>优秀奖</w:t>
      </w:r>
    </w:p>
    <w:p w14:paraId="0F565BF3" w14:textId="21F03D15" w:rsidR="004B3707" w:rsidRPr="004B3707" w:rsidRDefault="004B3707" w:rsidP="004B3707">
      <w:pPr>
        <w:jc w:val="left"/>
        <w:rPr>
          <w:rFonts w:ascii="Montserrat Light" w:eastAsia="黑体" w:hAnsi="Montserrat Light" w:cs="方正仿宋_GBK"/>
          <w:color w:val="808080" w:themeColor="background1" w:themeShade="80"/>
          <w:sz w:val="20"/>
          <w:szCs w:val="20"/>
        </w:rPr>
      </w:pPr>
      <w:r w:rsidRPr="004B3707">
        <w:rPr>
          <w:rFonts w:ascii="Montserrat Light" w:eastAsia="黑体" w:hAnsi="Montserrat Light" w:cs="方正仿宋_GBK"/>
          <w:color w:val="808080" w:themeColor="background1" w:themeShade="80"/>
          <w:sz w:val="20"/>
          <w:szCs w:val="20"/>
        </w:rPr>
        <w:t xml:space="preserve">Award: </w:t>
      </w:r>
      <w:r>
        <w:rPr>
          <w:rFonts w:ascii="Montserrat Light" w:eastAsia="黑体" w:hAnsi="Montserrat Light" w:cs="方正仿宋_GBK"/>
          <w:color w:val="808080" w:themeColor="background1" w:themeShade="80"/>
          <w:sz w:val="20"/>
          <w:szCs w:val="20"/>
        </w:rPr>
        <w:t>Final lists</w:t>
      </w:r>
    </w:p>
    <w:p w14:paraId="7F12318C" w14:textId="77777777" w:rsidR="004B3707" w:rsidRPr="004B3707" w:rsidRDefault="004B3707" w:rsidP="004B3707">
      <w:pPr>
        <w:jc w:val="left"/>
        <w:rPr>
          <w:rFonts w:ascii="黑体" w:eastAsia="黑体" w:hAnsi="黑体" w:cs="方正仿宋_GBK"/>
          <w:sz w:val="20"/>
          <w:szCs w:val="20"/>
        </w:rPr>
      </w:pPr>
    </w:p>
    <w:p w14:paraId="2E6653AB" w14:textId="56EB36C3" w:rsidR="004B3707" w:rsidRPr="004B3707" w:rsidRDefault="004B3707" w:rsidP="004B3707">
      <w:pPr>
        <w:jc w:val="left"/>
        <w:rPr>
          <w:rFonts w:ascii="黑体" w:eastAsia="黑体" w:hAnsi="黑体" w:cs="方正仿宋_GBK"/>
          <w:color w:val="808080" w:themeColor="background1" w:themeShade="80"/>
          <w:sz w:val="22"/>
          <w:szCs w:val="22"/>
        </w:rPr>
      </w:pPr>
      <w:r w:rsidRPr="004B3707">
        <w:rPr>
          <w:rFonts w:ascii="黑体" w:eastAsia="黑体" w:hAnsi="黑体" w:cs="方正仿宋_GBK" w:hint="eastAsia"/>
          <w:color w:val="808080" w:themeColor="background1" w:themeShade="80"/>
          <w:sz w:val="22"/>
          <w:szCs w:val="22"/>
        </w:rPr>
        <w:t>设计将新建、扩建、改建部分统一在整体场地框架布局之中。建筑物、景观场地空间紧密联系，形成严谨整齐的梳式布局逻辑，使得各时期、形态的建筑物归纳其中。整齐、严谨</w:t>
      </w:r>
      <w:proofErr w:type="gramStart"/>
      <w:r w:rsidRPr="004B3707">
        <w:rPr>
          <w:rFonts w:ascii="黑体" w:eastAsia="黑体" w:hAnsi="黑体" w:cs="方正仿宋_GBK" w:hint="eastAsia"/>
          <w:color w:val="808080" w:themeColor="background1" w:themeShade="80"/>
          <w:sz w:val="22"/>
          <w:szCs w:val="22"/>
        </w:rPr>
        <w:t>的梳形布局</w:t>
      </w:r>
      <w:proofErr w:type="gramEnd"/>
      <w:r w:rsidRPr="004B3707">
        <w:rPr>
          <w:rFonts w:ascii="黑体" w:eastAsia="黑体" w:hAnsi="黑体" w:cs="方正仿宋_GBK" w:hint="eastAsia"/>
          <w:color w:val="808080" w:themeColor="background1" w:themeShade="80"/>
          <w:sz w:val="22"/>
          <w:szCs w:val="22"/>
        </w:rPr>
        <w:t>形成了</w:t>
      </w:r>
      <w:proofErr w:type="gramStart"/>
      <w:r w:rsidRPr="004B3707">
        <w:rPr>
          <w:rFonts w:ascii="黑体" w:eastAsia="黑体" w:hAnsi="黑体" w:cs="方正仿宋_GBK" w:hint="eastAsia"/>
          <w:color w:val="808080" w:themeColor="background1" w:themeShade="80"/>
          <w:sz w:val="22"/>
          <w:szCs w:val="22"/>
        </w:rPr>
        <w:t>研学基地</w:t>
      </w:r>
      <w:proofErr w:type="gramEnd"/>
      <w:r w:rsidRPr="004B3707">
        <w:rPr>
          <w:rFonts w:ascii="黑体" w:eastAsia="黑体" w:hAnsi="黑体" w:cs="方正仿宋_GBK" w:hint="eastAsia"/>
          <w:color w:val="808080" w:themeColor="background1" w:themeShade="80"/>
          <w:sz w:val="22"/>
          <w:szCs w:val="22"/>
        </w:rPr>
        <w:t>的最主要空间特征，反映了开平塘口村落的村庄肌理，也是建立</w:t>
      </w:r>
      <w:proofErr w:type="gramStart"/>
      <w:r w:rsidRPr="004B3707">
        <w:rPr>
          <w:rFonts w:ascii="黑体" w:eastAsia="黑体" w:hAnsi="黑体" w:cs="方正仿宋_GBK" w:hint="eastAsia"/>
          <w:color w:val="808080" w:themeColor="background1" w:themeShade="80"/>
          <w:sz w:val="22"/>
          <w:szCs w:val="22"/>
        </w:rPr>
        <w:t>研学基地</w:t>
      </w:r>
      <w:proofErr w:type="gramEnd"/>
      <w:r w:rsidRPr="004B3707">
        <w:rPr>
          <w:rFonts w:ascii="黑体" w:eastAsia="黑体" w:hAnsi="黑体" w:cs="方正仿宋_GBK" w:hint="eastAsia"/>
          <w:color w:val="808080" w:themeColor="background1" w:themeShade="80"/>
          <w:sz w:val="22"/>
          <w:szCs w:val="22"/>
        </w:rPr>
        <w:t>的适合载体。作为红色主体相关</w:t>
      </w:r>
      <w:proofErr w:type="gramStart"/>
      <w:r w:rsidRPr="004B3707">
        <w:rPr>
          <w:rFonts w:ascii="黑体" w:eastAsia="黑体" w:hAnsi="黑体" w:cs="方正仿宋_GBK" w:hint="eastAsia"/>
          <w:color w:val="808080" w:themeColor="background1" w:themeShade="80"/>
          <w:sz w:val="22"/>
          <w:szCs w:val="22"/>
        </w:rPr>
        <w:t>研</w:t>
      </w:r>
      <w:proofErr w:type="gramEnd"/>
      <w:r w:rsidRPr="004B3707">
        <w:rPr>
          <w:rFonts w:ascii="黑体" w:eastAsia="黑体" w:hAnsi="黑体" w:cs="方正仿宋_GBK" w:hint="eastAsia"/>
          <w:color w:val="808080" w:themeColor="background1" w:themeShade="80"/>
          <w:sz w:val="22"/>
          <w:szCs w:val="22"/>
        </w:rPr>
        <w:t>学建筑，新建综合体空间严谨遵循场地</w:t>
      </w:r>
      <w:proofErr w:type="gramStart"/>
      <w:r w:rsidRPr="004B3707">
        <w:rPr>
          <w:rFonts w:ascii="黑体" w:eastAsia="黑体" w:hAnsi="黑体" w:cs="方正仿宋_GBK" w:hint="eastAsia"/>
          <w:color w:val="808080" w:themeColor="background1" w:themeShade="80"/>
          <w:sz w:val="22"/>
          <w:szCs w:val="22"/>
        </w:rPr>
        <w:t>的梳形框架</w:t>
      </w:r>
      <w:proofErr w:type="gramEnd"/>
      <w:r w:rsidRPr="004B3707">
        <w:rPr>
          <w:rFonts w:ascii="黑体" w:eastAsia="黑体" w:hAnsi="黑体" w:cs="方正仿宋_GBK" w:hint="eastAsia"/>
          <w:color w:val="808080" w:themeColor="background1" w:themeShade="80"/>
          <w:sz w:val="22"/>
          <w:szCs w:val="22"/>
        </w:rPr>
        <w:t>网络，在其中组织起宿舍、中央大厅、用餐区等空间。建筑结合回廊、礼堂的空间原型，构成纪律严谨、具有精神形象的中心空间。</w:t>
      </w:r>
    </w:p>
    <w:p w14:paraId="40BDA690" w14:textId="77777777" w:rsidR="004B3707" w:rsidRPr="004B3707" w:rsidRDefault="004B3707" w:rsidP="004B3707">
      <w:pPr>
        <w:jc w:val="left"/>
        <w:rPr>
          <w:rFonts w:ascii="黑体" w:eastAsia="黑体" w:hAnsi="黑体" w:cs="方正仿宋_GBK"/>
          <w:color w:val="808080" w:themeColor="background1" w:themeShade="80"/>
          <w:sz w:val="20"/>
          <w:szCs w:val="20"/>
        </w:rPr>
      </w:pPr>
    </w:p>
    <w:p w14:paraId="46ABB02A" w14:textId="5D9B1F8B" w:rsidR="004B3707" w:rsidRPr="004B3707" w:rsidRDefault="004B3707" w:rsidP="004B3707">
      <w:pPr>
        <w:jc w:val="left"/>
        <w:rPr>
          <w:rFonts w:ascii="Montserrat Light" w:eastAsia="黑体" w:hAnsi="Montserrat Light" w:cs="方正仿宋_GBK"/>
          <w:color w:val="808080" w:themeColor="background1" w:themeShade="80"/>
          <w:sz w:val="20"/>
          <w:szCs w:val="20"/>
        </w:rPr>
      </w:pPr>
      <w:r w:rsidRPr="004B3707">
        <w:rPr>
          <w:rFonts w:ascii="Montserrat Light" w:eastAsia="黑体" w:hAnsi="Montserrat Light" w:cs="方正仿宋_GBK"/>
          <w:color w:val="808080" w:themeColor="background1" w:themeShade="80"/>
          <w:sz w:val="20"/>
          <w:szCs w:val="20"/>
        </w:rPr>
        <w:t xml:space="preserve">The design will be new construction, expansion and reconstruction parts in the overall site framework layout. The space of buildings and landscape sites is closely linked, forming a rigorous and neat comb layout logic, so that the buildings of various periods and forms are summarized. The neat and rigorous comb layout forms the most important spatial feature of the research base, reflects the village texture of the </w:t>
      </w:r>
      <w:proofErr w:type="spellStart"/>
      <w:r w:rsidRPr="004B3707">
        <w:rPr>
          <w:rFonts w:ascii="Montserrat Light" w:eastAsia="黑体" w:hAnsi="Montserrat Light" w:cs="方正仿宋_GBK"/>
          <w:color w:val="808080" w:themeColor="background1" w:themeShade="80"/>
          <w:sz w:val="20"/>
          <w:szCs w:val="20"/>
        </w:rPr>
        <w:t>Kaiping</w:t>
      </w:r>
      <w:proofErr w:type="spellEnd"/>
      <w:r w:rsidRPr="004B3707">
        <w:rPr>
          <w:rFonts w:ascii="Montserrat Light" w:eastAsia="黑体" w:hAnsi="Montserrat Light" w:cs="方正仿宋_GBK"/>
          <w:color w:val="808080" w:themeColor="background1" w:themeShade="80"/>
          <w:sz w:val="20"/>
          <w:szCs w:val="20"/>
        </w:rPr>
        <w:t xml:space="preserve"> </w:t>
      </w:r>
      <w:proofErr w:type="spellStart"/>
      <w:r w:rsidRPr="004B3707">
        <w:rPr>
          <w:rFonts w:ascii="Montserrat Light" w:eastAsia="黑体" w:hAnsi="Montserrat Light" w:cs="方正仿宋_GBK"/>
          <w:color w:val="808080" w:themeColor="background1" w:themeShade="80"/>
          <w:sz w:val="20"/>
          <w:szCs w:val="20"/>
        </w:rPr>
        <w:t>Tangkou</w:t>
      </w:r>
      <w:proofErr w:type="spellEnd"/>
      <w:r w:rsidRPr="004B3707">
        <w:rPr>
          <w:rFonts w:ascii="Montserrat Light" w:eastAsia="黑体" w:hAnsi="Montserrat Light" w:cs="方正仿宋_GBK"/>
          <w:color w:val="808080" w:themeColor="background1" w:themeShade="80"/>
          <w:sz w:val="20"/>
          <w:szCs w:val="20"/>
        </w:rPr>
        <w:t xml:space="preserve"> village, and is also a suitable carrier for the establishment of the research base. As a related research building with a red main body, the new complex space strictly follows the comb-shaped framework network of the site, in which the dormitory, central hall, dining area and other spaces are organized. The building combines the spatial prototypes of the cloister and the auditorium to form a disciplined and spiritua</w:t>
      </w:r>
      <w:r>
        <w:rPr>
          <w:rFonts w:ascii="Montserrat Light" w:eastAsia="黑体" w:hAnsi="Montserrat Light" w:cs="方正仿宋_GBK"/>
          <w:color w:val="808080" w:themeColor="background1" w:themeShade="80"/>
          <w:sz w:val="20"/>
          <w:szCs w:val="20"/>
        </w:rPr>
        <w:t>l center space</w:t>
      </w:r>
      <w:r w:rsidRPr="004B3707">
        <w:rPr>
          <w:rFonts w:ascii="Montserrat Light" w:eastAsia="黑体" w:hAnsi="Montserrat Light" w:cs="方正仿宋_GBK"/>
          <w:color w:val="808080" w:themeColor="background1" w:themeShade="80"/>
          <w:sz w:val="20"/>
          <w:szCs w:val="20"/>
        </w:rPr>
        <w:t>.</w:t>
      </w:r>
    </w:p>
    <w:p w14:paraId="56B2662F" w14:textId="77777777" w:rsidR="004B3707" w:rsidRPr="004B3707" w:rsidRDefault="004B3707" w:rsidP="00816B51">
      <w:pPr>
        <w:widowControl/>
        <w:autoSpaceDE w:val="0"/>
        <w:autoSpaceDN w:val="0"/>
        <w:adjustRightInd w:val="0"/>
        <w:spacing w:line="280" w:lineRule="atLeast"/>
        <w:jc w:val="left"/>
        <w:rPr>
          <w:rFonts w:ascii="Times Roman" w:hAnsi="Times Roman" w:cs="Times Roman"/>
          <w:color w:val="000000"/>
          <w:kern w:val="0"/>
        </w:rPr>
      </w:pPr>
    </w:p>
    <w:sectPr w:rsidR="004B3707" w:rsidRPr="004B3707" w:rsidSect="003E6AF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ipei Sans TC Beta">
    <w:panose1 w:val="00000000000000000000"/>
    <w:charset w:val="88"/>
    <w:family w:val="auto"/>
    <w:pitch w:val="variable"/>
    <w:sig w:usb0="20000003" w:usb1="2ACF3C10" w:usb2="00000016" w:usb3="00000000" w:csb0="00100001" w:csb1="00000000"/>
  </w:font>
  <w:font w:name="方正仿宋_GBK">
    <w:altName w:val="微软雅黑"/>
    <w:panose1 w:val="00000000000000000000"/>
    <w:charset w:val="86"/>
    <w:family w:val="auto"/>
    <w:notTrueType/>
    <w:pitch w:val="default"/>
    <w:sig w:usb0="00000001" w:usb1="080E0000" w:usb2="00000010" w:usb3="00000000" w:csb0="00040000" w:csb1="00000000"/>
  </w:font>
  <w:font w:name="Montserrat Light">
    <w:altName w:val="Courier New"/>
    <w:panose1 w:val="00000000000000000000"/>
    <w:charset w:val="00"/>
    <w:family w:val="auto"/>
    <w:notTrueType/>
    <w:pitch w:val="variable"/>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4A"/>
    <w:rsid w:val="002532C7"/>
    <w:rsid w:val="00400B4A"/>
    <w:rsid w:val="004B024E"/>
    <w:rsid w:val="004B3707"/>
    <w:rsid w:val="004F11A5"/>
    <w:rsid w:val="00816B51"/>
    <w:rsid w:val="00826AAF"/>
    <w:rsid w:val="008F535C"/>
    <w:rsid w:val="00B130D6"/>
    <w:rsid w:val="00B85E38"/>
    <w:rsid w:val="00D06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009382"/>
  <w14:defaultImageDpi w14:val="300"/>
  <w15:docId w15:val="{621F5F15-BD3F-4ED1-A3AC-74871E83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B3707"/>
    <w:pPr>
      <w:widowControl w:val="0"/>
      <w:autoSpaceDE w:val="0"/>
      <w:autoSpaceDN w:val="0"/>
      <w:adjustRightInd w:val="0"/>
    </w:pPr>
    <w:rPr>
      <w:rFonts w:ascii="黑体" w:eastAsia="黑体" w:hAnsi="黑体" w:cs="黑体"/>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admin</cp:lastModifiedBy>
  <cp:revision>6</cp:revision>
  <dcterms:created xsi:type="dcterms:W3CDTF">2022-01-05T14:43:00Z</dcterms:created>
  <dcterms:modified xsi:type="dcterms:W3CDTF">2022-01-05T15:21:00Z</dcterms:modified>
</cp:coreProperties>
</file>