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Annexure A.2 Audit Report</w:t>
      </w:r>
    </w:p>
    <w:p>
      <w:r>
        <w:t>User persona and audience-oriented design compliance audit.</w:t>
      </w:r>
    </w:p>
    <w:p>
      <w:pPr>
        <w:pStyle w:val="Heading2"/>
      </w:pPr>
      <w:r>
        <w:t>Persona Navigation</w:t>
      </w:r>
    </w:p>
    <w:p>
      <w:r>
        <w:rPr>
          <w:b/>
        </w:rPr>
        <w:t>STATUS: NON-COMPLIANT</w:t>
        <w:br/>
        <w:br/>
      </w:r>
      <w:r>
        <w:br/>
        <w:t>RULE: Persona Navigation</w:t>
        <w:br/>
        <w:br/>
        <w:t>STATUS: NON-COMPLIANT</w:t>
        <w:br/>
        <w:br/>
        <w:t>Reason:</w:t>
        <w:br/>
        <w:t>No role-oriented navigation</w:t>
        <w:br/>
        <w:t>structures targeting specific</w:t>
        <w:br/>
        <w:t>user personas were detected.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7239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3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Persona-Oriented Sections</w:t>
      </w:r>
    </w:p>
    <w:p>
      <w:r>
        <w:rPr>
          <w:b/>
        </w:rPr>
        <w:t>STATUS: NON-COMPLIANT</w:t>
        <w:br/>
        <w:br/>
      </w:r>
      <w:r>
        <w:br/>
        <w:t>RULE: Persona-Oriented Sections</w:t>
        <w:br/>
        <w:br/>
        <w:t>STATUS: NON-COMPLIANT</w:t>
        <w:br/>
        <w:br/>
        <w:t>Reason:</w:t>
        <w:br/>
        <w:t>No persona-oriented service/content</w:t>
        <w:br/>
        <w:t>sections were detected.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7239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3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Persona Imagery</w:t>
      </w:r>
    </w:p>
    <w:p>
      <w:r>
        <w:rPr>
          <w:b/>
        </w:rPr>
        <w:t>STATUS: NON-COMPLIANT</w:t>
        <w:br/>
        <w:br/>
      </w:r>
      <w:r>
        <w:br/>
        <w:t>RULE: Persona Imagery</w:t>
        <w:br/>
        <w:br/>
        <w:t>STATUS: NON-COMPLIANT</w:t>
        <w:br/>
        <w:br/>
        <w:t>Reason:</w:t>
        <w:br/>
        <w:t>No persona-oriented imagery</w:t>
        <w:br/>
        <w:t>was detected.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17239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3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