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DBIM HIGH-FIDELITY COMPLIANCE DISCOVERY ARCHIVE</w:t>
      </w:r>
    </w:p>
    <w:p>
      <w:r>
        <w:t>Report Output Generated On: 2026-05-27 15:41:33 | Environment Core: Master Framework Auditor Engine</w:t>
      </w:r>
    </w:p>
    <w:p>
      <w:pPr>
        <w:pStyle w:val="Heading1"/>
      </w:pPr>
      <w:r>
        <w:t>A.4 UI Layout &amp; Homepage Structural Mapping</w:t>
      </w:r>
    </w:p>
    <w:p>
      <w:r>
        <w:br w:type="page"/>
      </w:r>
    </w:p>
    <w:p>
      <w:pPr>
        <w:pStyle w:val="Heading2"/>
      </w:pPr>
      <w:r>
        <w:t>Section 10.1.1: Web Vitals Performance Index</w:t>
      </w:r>
    </w:p>
    <w:p>
      <w:r>
        <w:rPr>
          <w:b/>
          <w:color w:val="B40000"/>
        </w:rPr>
        <w:t>COMPLIANCE SPECIFICATION STATUS: NON-COMPLIANT</w:t>
        <w:br/>
      </w:r>
    </w:p>
    <w:p>
      <w:r>
        <w:t>Audit Operations Diagnostic Findings Log:</w:t>
        <w:br/>
        <w:t>Velocity Breach: Server milestones exceed standard boundaries.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Objective Rule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Technical State Compliance Metric</w:t>
            </w:r>
          </w:p>
        </w:tc>
      </w:tr>
      <w:tr>
        <w:tc>
          <w:tcPr>
            <w:tcW w:type="dxa" w:w="4320"/>
          </w:tcPr>
          <w:p>
            <w:r>
              <w:t>Time to First Byte (TTFB)</w:t>
            </w:r>
          </w:p>
        </w:tc>
        <w:tc>
          <w:tcPr>
            <w:tcW w:type="dxa" w:w="4320"/>
          </w:tcPr>
          <w:p>
            <w:r>
              <w:t>3664 ms (Threshold &lt;= 800ms)</w:t>
            </w:r>
          </w:p>
        </w:tc>
      </w:tr>
      <w:tr>
        <w:tc>
          <w:tcPr>
            <w:tcW w:type="dxa" w:w="4320"/>
          </w:tcPr>
          <w:p>
            <w:r>
              <w:t>Full Load Event Complete</w:t>
            </w:r>
          </w:p>
        </w:tc>
        <w:tc>
          <w:tcPr>
            <w:tcW w:type="dxa" w:w="4320"/>
          </w:tcPr>
          <w:p>
            <w:r>
              <w:t>8116 ms (Threshold &lt;= 4000ms)</w:t>
            </w:r>
          </w:p>
        </w:tc>
      </w:tr>
    </w:tbl>
    <w:p>
      <w:r>
        <w:t>Visual Proof (Cropped Target Component Execution Capture Verification):</w:t>
      </w:r>
    </w:p>
    <w:p>
      <w:r>
        <w:drawing>
          <wp:inline xmlns:a="http://schemas.openxmlformats.org/drawingml/2006/main" xmlns:pic="http://schemas.openxmlformats.org/drawingml/2006/picture">
            <wp:extent cx="5120640" cy="337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page_master_ra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Section A.4.1.2: Multi-Page Portal Sequence Blocks</w:t>
      </w:r>
    </w:p>
    <w:p>
      <w:r>
        <w:rPr>
          <w:b/>
          <w:color w:val="008000"/>
        </w:rPr>
        <w:t>COMPLIANCE SPECIFICATION STATUS: COMPLIANT</w:t>
        <w:br/>
      </w:r>
    </w:p>
    <w:p>
      <w:r>
        <w:t>Audit Operations Diagnostic Findings Log:</w:t>
        <w:br/>
        <w:t>Successfully extracted 6 structural landing layout rows conforming to manual blueprint sheets.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Objective Rule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Technical State Compliance Metric</w:t>
            </w:r>
          </w:p>
        </w:tc>
      </w:tr>
      <w:tr>
        <w:tc>
          <w:tcPr>
            <w:tcW w:type="dxa" w:w="4320"/>
          </w:tcPr>
          <w:p>
            <w:r>
              <w:t>i. Homepage Header Section</w:t>
            </w:r>
          </w:p>
        </w:tc>
        <w:tc>
          <w:tcPr>
            <w:tcW w:type="dxa" w:w="4320"/>
          </w:tcPr>
          <w:p>
            <w:r>
              <w:t>ACTIVE &amp; COMPLIANT CONTAINER</w:t>
            </w:r>
          </w:p>
        </w:tc>
      </w:tr>
      <w:tr>
        <w:tc>
          <w:tcPr>
            <w:tcW w:type="dxa" w:w="4320"/>
          </w:tcPr>
          <w:p>
            <w:r>
              <w:t>ii. Top Banner Carousel</w:t>
            </w:r>
          </w:p>
        </w:tc>
        <w:tc>
          <w:tcPr>
            <w:tcW w:type="dxa" w:w="4320"/>
          </w:tcPr>
          <w:p>
            <w:r>
              <w:t>ACTIVE &amp; COMPLIANT CONTAINER</w:t>
            </w:r>
          </w:p>
        </w:tc>
      </w:tr>
      <w:tr>
        <w:tc>
          <w:tcPr>
            <w:tcW w:type="dxa" w:w="4320"/>
          </w:tcPr>
          <w:p>
            <w:r>
              <w:t>iii. Announcements Ticker</w:t>
            </w:r>
          </w:p>
        </w:tc>
        <w:tc>
          <w:tcPr>
            <w:tcW w:type="dxa" w:w="4320"/>
          </w:tcPr>
          <w:p>
            <w:r>
              <w:t>ACTIVE &amp; COMPLIANT CONTAINER</w:t>
            </w:r>
          </w:p>
        </w:tc>
      </w:tr>
      <w:tr>
        <w:tc>
          <w:tcPr>
            <w:tcW w:type="dxa" w:w="4320"/>
          </w:tcPr>
          <w:p>
            <w:r>
              <w:t>iv. PM Quote Section</w:t>
            </w:r>
          </w:p>
        </w:tc>
        <w:tc>
          <w:tcPr>
            <w:tcW w:type="dxa" w:w="4320"/>
          </w:tcPr>
          <w:p>
            <w:r>
              <w:t>ACTIVE &amp; COMPLIANT CONTAINER</w:t>
            </w:r>
          </w:p>
        </w:tc>
      </w:tr>
      <w:tr>
        <w:tc>
          <w:tcPr>
            <w:tcW w:type="dxa" w:w="4320"/>
          </w:tcPr>
          <w:p>
            <w:r>
              <w:t>v. Ministry/Department Section</w:t>
            </w:r>
          </w:p>
        </w:tc>
        <w:tc>
          <w:tcPr>
            <w:tcW w:type="dxa" w:w="4320"/>
          </w:tcPr>
          <w:p>
            <w:r>
              <w:t>NOT DETECTED / INACTIVE LAYERS</w:t>
            </w:r>
          </w:p>
        </w:tc>
      </w:tr>
      <w:tr>
        <w:tc>
          <w:tcPr>
            <w:tcW w:type="dxa" w:w="4320"/>
          </w:tcPr>
          <w:p>
            <w:r>
              <w:t>vi. Key Offerings Section</w:t>
            </w:r>
          </w:p>
        </w:tc>
        <w:tc>
          <w:tcPr>
            <w:tcW w:type="dxa" w:w="4320"/>
          </w:tcPr>
          <w:p>
            <w:r>
              <w:t>NOT DETECTED / INACTIVE LAYERS</w:t>
            </w:r>
          </w:p>
        </w:tc>
      </w:tr>
      <w:tr>
        <w:tc>
          <w:tcPr>
            <w:tcW w:type="dxa" w:w="4320"/>
          </w:tcPr>
          <w:p>
            <w:r>
              <w:t>vii. What's New Section</w:t>
            </w:r>
          </w:p>
        </w:tc>
        <w:tc>
          <w:tcPr>
            <w:tcW w:type="dxa" w:w="4320"/>
          </w:tcPr>
          <w:p>
            <w:r>
              <w:t>NOT DETECTED / INACTIVE LAYERS</w:t>
            </w:r>
          </w:p>
        </w:tc>
      </w:tr>
      <w:tr>
        <w:tc>
          <w:tcPr>
            <w:tcW w:type="dxa" w:w="4320"/>
          </w:tcPr>
          <w:p>
            <w:r>
              <w:t>viii. Recent Documents Section</w:t>
            </w:r>
          </w:p>
        </w:tc>
        <w:tc>
          <w:tcPr>
            <w:tcW w:type="dxa" w:w="4320"/>
          </w:tcPr>
          <w:p>
            <w:r>
              <w:t>NOT DETECTED / INACTIVE LAYERS</w:t>
            </w:r>
          </w:p>
        </w:tc>
      </w:tr>
      <w:tr>
        <w:tc>
          <w:tcPr>
            <w:tcW w:type="dxa" w:w="4320"/>
          </w:tcPr>
          <w:p>
            <w:r>
              <w:t>ix. User Persona Section</w:t>
            </w:r>
          </w:p>
        </w:tc>
        <w:tc>
          <w:tcPr>
            <w:tcW w:type="dxa" w:w="4320"/>
          </w:tcPr>
          <w:p>
            <w:r>
              <w:t>ACTIVE &amp; COMPLIANT CONTAINER</w:t>
            </w:r>
          </w:p>
        </w:tc>
      </w:tr>
      <w:tr>
        <w:tc>
          <w:tcPr>
            <w:tcW w:type="dxa" w:w="4320"/>
          </w:tcPr>
          <w:p>
            <w:r>
              <w:t>x. Important Links Section</w:t>
            </w:r>
          </w:p>
        </w:tc>
        <w:tc>
          <w:tcPr>
            <w:tcW w:type="dxa" w:w="4320"/>
          </w:tcPr>
          <w:p>
            <w:r>
              <w:t>NOT DETECTED / INACTIVE LAYERS</w:t>
            </w:r>
          </w:p>
        </w:tc>
      </w:tr>
      <w:tr>
        <w:tc>
          <w:tcPr>
            <w:tcW w:type="dxa" w:w="4320"/>
          </w:tcPr>
          <w:p>
            <w:r>
              <w:t>xi. Citizen Engagement Section</w:t>
            </w:r>
          </w:p>
        </w:tc>
        <w:tc>
          <w:tcPr>
            <w:tcW w:type="dxa" w:w="4320"/>
          </w:tcPr>
          <w:p>
            <w:r>
              <w:t>NOT DETECTED / INACTIVE LAYERS</w:t>
            </w:r>
          </w:p>
        </w:tc>
      </w:tr>
      <w:tr>
        <w:tc>
          <w:tcPr>
            <w:tcW w:type="dxa" w:w="4320"/>
          </w:tcPr>
          <w:p>
            <w:r>
              <w:t>xii. Central Posts Section</w:t>
            </w:r>
          </w:p>
        </w:tc>
        <w:tc>
          <w:tcPr>
            <w:tcW w:type="dxa" w:w="4320"/>
          </w:tcPr>
          <w:p>
            <w:r>
              <w:t>NOT DETECTED / INACTIVE LAYERS</w:t>
            </w:r>
          </w:p>
        </w:tc>
      </w:tr>
      <w:tr>
        <w:tc>
          <w:tcPr>
            <w:tcW w:type="dxa" w:w="4320"/>
          </w:tcPr>
          <w:p>
            <w:r>
              <w:t>xiii. Infographics Section</w:t>
            </w:r>
          </w:p>
        </w:tc>
        <w:tc>
          <w:tcPr>
            <w:tcW w:type="dxa" w:w="4320"/>
          </w:tcPr>
          <w:p>
            <w:r>
              <w:t>NOT DETECTED / INACTIVE LAYERS</w:t>
            </w:r>
          </w:p>
        </w:tc>
      </w:tr>
      <w:tr>
        <w:tc>
          <w:tcPr>
            <w:tcW w:type="dxa" w:w="4320"/>
          </w:tcPr>
          <w:p>
            <w:r>
              <w:t>xiv. Footer Carousel</w:t>
            </w:r>
          </w:p>
        </w:tc>
        <w:tc>
          <w:tcPr>
            <w:tcW w:type="dxa" w:w="4320"/>
          </w:tcPr>
          <w:p>
            <w:r>
              <w:t>NOT DETECTED / INACTIVE LAYERS</w:t>
            </w:r>
          </w:p>
        </w:tc>
      </w:tr>
      <w:tr>
        <w:tc>
          <w:tcPr>
            <w:tcW w:type="dxa" w:w="4320"/>
          </w:tcPr>
          <w:p>
            <w:r>
              <w:t>xv. Footer Details Section</w:t>
            </w:r>
          </w:p>
        </w:tc>
        <w:tc>
          <w:tcPr>
            <w:tcW w:type="dxa" w:w="4320"/>
          </w:tcPr>
          <w:p>
            <w:r>
              <w:t>ACTIVE &amp; COMPLIANT CONTAINER</w:t>
            </w:r>
          </w:p>
        </w:tc>
      </w:tr>
    </w:tbl>
    <w:p>
      <w:r>
        <w:br w:type="page"/>
      </w:r>
    </w:p>
    <w:p>
      <w:pPr>
        <w:pStyle w:val="Heading1"/>
      </w:pPr>
      <w:r>
        <w:t>6.1 Imagery &amp; Formats Strategy</w:t>
      </w:r>
    </w:p>
    <w:p>
      <w:r>
        <w:br w:type="page"/>
      </w:r>
    </w:p>
    <w:p>
      <w:pPr>
        <w:pStyle w:val="Heading2"/>
      </w:pPr>
      <w:r>
        <w:t>Rule 34: Approved Compression Formats</w:t>
      </w:r>
    </w:p>
    <w:p>
      <w:r>
        <w:rPr>
          <w:b/>
          <w:color w:val="008000"/>
        </w:rPr>
        <w:t>COMPLIANCE SPECIFICATION STATUS: COMPLIANT</w:t>
        <w:br/>
      </w:r>
    </w:p>
    <w:p>
      <w:r>
        <w:t>Audit Operations Diagnostic Findings Log:</w:t>
        <w:br/>
        <w:t>All graphic nodes match standard compliant MIME formats (JPEG, PNG, WebP, SVG).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Objective Rule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Technical State Compliance Metric</w:t>
            </w:r>
          </w:p>
        </w:tc>
      </w:tr>
      <w:tr>
        <w:tc>
          <w:tcPr>
            <w:tcW w:type="dxa" w:w="4320"/>
          </w:tcPr>
          <w:p>
            <w:r>
              <w:t>Total Isolated Graphic Elements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Banned Extension Assets Discovered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r>
        <w:br w:type="page"/>
      </w:r>
    </w:p>
    <w:p>
      <w:pPr>
        <w:pStyle w:val="Heading1"/>
      </w:pPr>
      <w:r>
        <w:t>Annexure D: Header &amp; Footer Architecture</w:t>
      </w:r>
    </w:p>
    <w:p>
      <w:r>
        <w:br w:type="page"/>
      </w:r>
    </w:p>
    <w:p>
      <w:pPr>
        <w:pStyle w:val="Heading2"/>
      </w:pPr>
      <w:r>
        <w:t>Rule 21: Organization Naming Schema Alignment</w:t>
      </w:r>
    </w:p>
    <w:p>
      <w:r>
        <w:rPr>
          <w:b/>
          <w:color w:val="008000"/>
        </w:rPr>
        <w:t>COMPLIANCE SPECIFICATION STATUS: COMPLIANT</w:t>
        <w:br/>
      </w:r>
    </w:p>
    <w:p>
      <w:r>
        <w:t>Audit Operations Diagnostic Findings Log:</w:t>
        <w:br/>
        <w:t>Document outline header matches semantic context configuration norms: [Home | Ministry of Electronics and Information Technology].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Objective Rule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Technical State Compliance Metric</w:t>
            </w:r>
          </w:p>
        </w:tc>
      </w:tr>
      <w:tr>
        <w:tc>
          <w:tcPr>
            <w:tcW w:type="dxa" w:w="4320"/>
          </w:tcPr>
          <w:p>
            <w:r>
              <w:t>Resolved DOM Title Header String</w:t>
            </w:r>
          </w:p>
        </w:tc>
        <w:tc>
          <w:tcPr>
            <w:tcW w:type="dxa" w:w="4320"/>
          </w:tcPr>
          <w:p>
            <w:r>
              <w:t>Home | Ministry of Electronics and Information Technology</w:t>
            </w:r>
          </w:p>
        </w:tc>
      </w:tr>
    </w:tbl>
    <w:p>
      <w:r>
        <w:br w:type="page"/>
      </w:r>
    </w:p>
    <w:p>
      <w:pPr>
        <w:pStyle w:val="Heading2"/>
      </w:pPr>
      <w:r>
        <w:t>Rule 25: Footer Corporate Lineage Disclosures</w:t>
      </w:r>
    </w:p>
    <w:p>
      <w:r>
        <w:rPr>
          <w:b/>
          <w:color w:val="B40000"/>
        </w:rPr>
        <w:t>COMPLIANCE SPECIFICATION STATUS: NON-COMPLIANT</w:t>
        <w:br/>
      </w:r>
    </w:p>
    <w:p>
      <w:r>
        <w:t>Audit Operations Diagnostic Findings Log:</w:t>
        <w:br/>
        <w:t>Transparency Fault: Footer layout missing required legislative metadata links.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Objective Rule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Technical State Compliance Metric</w:t>
            </w:r>
          </w:p>
        </w:tc>
      </w:tr>
      <w:tr>
        <w:tc>
          <w:tcPr>
            <w:tcW w:type="dxa" w:w="4320"/>
          </w:tcPr>
          <w:p>
            <w:r>
              <w:t>Extracted Metadata Pointers Tokens</w:t>
            </w:r>
          </w:p>
        </w:tc>
        <w:tc>
          <w:tcPr>
            <w:tcW w:type="dxa" w:w="4320"/>
          </w:tcPr>
          <w:p>
            <w:r>
              <w:t>None Discovered</w:t>
            </w:r>
          </w:p>
        </w:tc>
      </w:tr>
      <w:tr>
        <w:tc>
          <w:tcPr>
            <w:tcW w:type="dxa" w:w="4320"/>
          </w:tcPr>
          <w:p>
            <w:r>
              <w:t>Disclosure Coverage Layer Ratio</w:t>
            </w:r>
          </w:p>
        </w:tc>
        <w:tc>
          <w:tcPr>
            <w:tcW w:type="dxa" w:w="4320"/>
          </w:tcPr>
          <w:p>
            <w:r>
              <w:t>0 of 8 matched parameters</w:t>
            </w:r>
          </w:p>
        </w:tc>
      </w:tr>
    </w:tbl>
    <w:p>
      <w:r>
        <w:br w:type="page"/>
      </w:r>
    </w:p>
    <w:p>
      <w:pPr>
        <w:pStyle w:val="Heading1"/>
      </w:pPr>
      <w:r>
        <w:t>Requirements 43/44/45: Search &amp; Discovery</w:t>
      </w:r>
    </w:p>
    <w:p>
      <w:r>
        <w:br w:type="page"/>
      </w:r>
    </w:p>
    <w:p>
      <w:pPr>
        <w:pStyle w:val="Heading2"/>
      </w:pPr>
      <w:r>
        <w:t>Requirement 43: Input &amp; Autocomplete Response</w:t>
      </w:r>
    </w:p>
    <w:p>
      <w:r>
        <w:rPr>
          <w:b/>
          <w:color w:val="008000"/>
        </w:rPr>
        <w:t>COMPLIANCE SPECIFICATION STATUS: COMPLIANT</w:t>
        <w:br/>
      </w:r>
    </w:p>
    <w:p>
      <w:r>
        <w:t>Audit Operations Diagnostic Findings Log:</w:t>
        <w:br/>
        <w:t>Search fields take user inputs successfully, but live autocomplete suggestion boxes are missing.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Objective Rule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Technical State Compliance Metric</w:t>
            </w:r>
          </w:p>
        </w:tc>
      </w:tr>
      <w:tr>
        <w:tc>
          <w:tcPr>
            <w:tcW w:type="dxa" w:w="4320"/>
          </w:tcPr>
          <w:p>
            <w:r>
              <w:t>Autocomplete Menu Container Detection</w:t>
            </w:r>
          </w:p>
        </w:tc>
        <w:tc>
          <w:tcPr>
            <w:tcW w:type="dxa" w:w="4320"/>
          </w:tcPr>
          <w:p>
            <w:r>
              <w:t>Inactive / Missing Suggestion Grids</w:t>
            </w:r>
          </w:p>
        </w:tc>
      </w:tr>
    </w:tbl>
    <w:p>
      <w:r>
        <w:t>Visual Proof (Cropped Target Component Execution Capture Verification):</w:t>
      </w:r>
    </w:p>
    <w:p>
      <w:r>
        <w:drawing>
          <wp:inline xmlns:a="http://schemas.openxmlformats.org/drawingml/2006/main" xmlns:pic="http://schemas.openxmlformats.org/drawingml/2006/picture">
            <wp:extent cx="5120640" cy="3378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bar_box_highligh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Requirement 43: Query Results Execution Profiles</w:t>
      </w:r>
    </w:p>
    <w:p>
      <w:r>
        <w:rPr>
          <w:b/>
          <w:color w:val="008000"/>
        </w:rPr>
        <w:t>COMPLIANCE SPECIFICATION STATUS: COMPLIANT</w:t>
        <w:br/>
      </w:r>
    </w:p>
    <w:p>
      <w:r>
        <w:t>Audit Operations Diagnostic Findings Log:</w:t>
        <w:br/>
        <w:t>Web application shifts execution views down to target query matching listings index entries.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Objective Rule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Technical State Compliance Metric</w:t>
            </w:r>
          </w:p>
        </w:tc>
      </w:tr>
      <w:tr>
        <w:tc>
          <w:tcPr>
            <w:tcW w:type="dxa" w:w="4320"/>
          </w:tcPr>
          <w:p>
            <w:r>
              <w:t>Results Content Frame Transformation</w:t>
            </w:r>
          </w:p>
        </w:tc>
        <w:tc>
          <w:tcPr>
            <w:tcW w:type="dxa" w:w="4320"/>
          </w:tcPr>
          <w:p>
            <w:r>
              <w:t>Verified Matched List Active</w:t>
            </w:r>
          </w:p>
        </w:tc>
      </w:tr>
    </w:tbl>
    <w:p>
      <w:r>
        <w:t>Visual Proof (Cropped Target Component Execution Capture Verification):</w:t>
      </w:r>
    </w:p>
    <w:p>
      <w:r>
        <w:drawing>
          <wp:inline xmlns:a="http://schemas.openxmlformats.org/drawingml/2006/main" xmlns:pic="http://schemas.openxmlformats.org/drawingml/2006/picture">
            <wp:extent cx="5120640" cy="3378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results_canv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Requirement 44: Document PDF Searchability Profiles</w:t>
      </w:r>
    </w:p>
    <w:p>
      <w:r>
        <w:rPr>
          <w:b/>
          <w:color w:val="B40000"/>
        </w:rPr>
        <w:t>COMPLIANCE SPECIFICATION STATUS: NON-COMPLIANT</w:t>
        <w:br/>
      </w:r>
    </w:p>
    <w:p>
      <w:r>
        <w:t>Audit Operations Diagnostic Findings Log:</w:t>
        <w:br/>
        <w:t>Violation: Search engine indexes fail to trace or display match file link downloads parameters.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Objective Rule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Technical State Compliance Metric</w:t>
            </w:r>
          </w:p>
        </w:tc>
      </w:tr>
      <w:tr>
        <w:tc>
          <w:tcPr>
            <w:tcW w:type="dxa" w:w="4320"/>
          </w:tcPr>
          <w:p>
            <w:r>
              <w:t>Searchable PDF Linked Structures Found</w:t>
            </w:r>
          </w:p>
        </w:tc>
        <w:tc>
          <w:tcPr>
            <w:tcW w:type="dxa" w:w="4320"/>
          </w:tcPr>
          <w:p>
            <w:r>
              <w:t>No Core Documents Assets Surfaced</w:t>
            </w:r>
          </w:p>
        </w:tc>
      </w:tr>
    </w:tbl>
    <w:p>
      <w:r>
        <w:br w:type="page"/>
      </w:r>
    </w:p>
    <w:p>
      <w:pPr>
        <w:pStyle w:val="Heading2"/>
      </w:pPr>
      <w:r>
        <w:t>Requirement 45: Discoverability Metadata Analysis</w:t>
      </w:r>
    </w:p>
    <w:p>
      <w:r>
        <w:rPr>
          <w:b/>
          <w:color w:val="B40000"/>
        </w:rPr>
        <w:t>COMPLIANCE SPECIFICATION STATUS: NON-COMPLIANT</w:t>
        <w:br/>
      </w:r>
    </w:p>
    <w:p>
      <w:r>
        <w:t>Audit Operations Diagnostic Findings Log:</w:t>
        <w:br/>
        <w:t>Optimization Gap: Missing layout results sorting filters or primary homepage head meta descriptions descriptors.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Objective Rule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Technical State Compliance Metric</w:t>
            </w:r>
          </w:p>
        </w:tc>
      </w:tr>
      <w:tr>
        <w:tc>
          <w:tcPr>
            <w:tcW w:type="dxa" w:w="4320"/>
          </w:tcPr>
          <w:p>
            <w:r>
              <w:t>Meta Description Integrity Tag</w:t>
            </w:r>
          </w:p>
        </w:tc>
        <w:tc>
          <w:tcPr>
            <w:tcW w:type="dxa" w:w="4320"/>
          </w:tcPr>
          <w:p>
            <w:r>
              <w:t>Valid Header Token Present</w:t>
            </w:r>
          </w:p>
        </w:tc>
      </w:tr>
      <w:tr>
        <w:tc>
          <w:tcPr>
            <w:tcW w:type="dxa" w:w="4320"/>
          </w:tcPr>
          <w:p>
            <w:r>
              <w:t>Meta Keywords Integrity Tag</w:t>
            </w:r>
          </w:p>
        </w:tc>
        <w:tc>
          <w:tcPr>
            <w:tcW w:type="dxa" w:w="4320"/>
          </w:tcPr>
          <w:p>
            <w:r>
              <w:t>Meta Keywords Missing</w:t>
            </w:r>
          </w:p>
        </w:tc>
      </w:tr>
      <w:tr>
        <w:tc>
          <w:tcPr>
            <w:tcW w:type="dxa" w:w="4320"/>
          </w:tcPr>
          <w:p>
            <w:r>
              <w:t>Interactive Categorization Refinement Tools</w:t>
            </w:r>
          </w:p>
        </w:tc>
        <w:tc>
          <w:tcPr>
            <w:tcW w:type="dxa" w:w="4320"/>
          </w:tcPr>
          <w:p>
            <w:r>
              <w:t>Missing Layout Modifiers Grids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