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DBIM PERFORMANCE COMPLIANCE AUDIT REPORT</w:t>
      </w:r>
    </w:p>
    <w:p>
      <w:r>
        <w:t>Comprehensive validation report analyzing layout configurations against official Digital Brand Identity Manual rules.</w:t>
      </w:r>
    </w:p>
    <w:p>
      <w:pPr>
        <w:pStyle w:val="Heading2"/>
      </w:pPr>
      <w:r>
        <w:t>Clause 10.1.1 - Optimize Page Loading Speed</w:t>
      </w:r>
    </w:p>
    <w:p>
      <w:r>
        <w:rPr>
          <w:b/>
          <w:color w:val="C80000"/>
        </w:rPr>
        <w:t>STATUS: NON-COMPLIANT</w:t>
        <w:br/>
      </w:r>
    </w:p>
    <w:p>
      <w:r>
        <w:t>Audit Finding Detail:</w:t>
        <w:br/>
        <w:t>Website load timings exceed target performance limits.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Time to First Byte (TTFB)</w:t>
            </w:r>
          </w:p>
        </w:tc>
        <w:tc>
          <w:tcPr>
            <w:tcW w:type="dxa" w:w="4320"/>
          </w:tcPr>
          <w:p>
            <w:r>
              <w:t>3376 ms (Threshold &lt;= 800ms)</w:t>
            </w:r>
          </w:p>
        </w:tc>
      </w:tr>
      <w:tr>
        <w:tc>
          <w:tcPr>
            <w:tcW w:type="dxa" w:w="4320"/>
          </w:tcPr>
          <w:p>
            <w:r>
              <w:t>DOM Content Loaded</w:t>
            </w:r>
          </w:p>
        </w:tc>
        <w:tc>
          <w:tcPr>
            <w:tcW w:type="dxa" w:w="4320"/>
          </w:tcPr>
          <w:p>
            <w:r>
              <w:t>4252 ms (Threshold &lt;= 2500ms)</w:t>
            </w:r>
          </w:p>
        </w:tc>
      </w:tr>
      <w:tr>
        <w:tc>
          <w:tcPr>
            <w:tcW w:type="dxa" w:w="4320"/>
          </w:tcPr>
          <w:p>
            <w:r>
              <w:t>Full Page Load Event</w:t>
            </w:r>
          </w:p>
        </w:tc>
        <w:tc>
          <w:tcPr>
            <w:tcW w:type="dxa" w:w="4320"/>
          </w:tcPr>
          <w:p>
            <w:r>
              <w:t>6606 ms (Threshold &lt;= 4000ms)</w:t>
            </w:r>
          </w:p>
        </w:tc>
      </w:tr>
      <w:tr>
        <w:tc>
          <w:tcPr>
            <w:tcW w:type="dxa" w:w="4320"/>
          </w:tcPr>
          <w:p>
            <w:r>
              <w:t>Network Transfer Weight</w:t>
            </w:r>
          </w:p>
        </w:tc>
        <w:tc>
          <w:tcPr>
            <w:tcW w:type="dxa" w:w="4320"/>
          </w:tcPr>
          <w:p>
            <w:r>
              <w:t>1.26 KB</w:t>
            </w:r>
          </w:p>
        </w:tc>
      </w:tr>
      <w:tr>
        <w:tc>
          <w:tcPr>
            <w:tcW w:type="dxa" w:w="4320"/>
          </w:tcPr>
          <w:p>
            <w:r>
              <w:t>Uncompressed Resource Body</w:t>
            </w:r>
          </w:p>
        </w:tc>
        <w:tc>
          <w:tcPr>
            <w:tcW w:type="dxa" w:w="4320"/>
          </w:tcPr>
          <w:p>
            <w:r>
              <w:t>0.97 KB</w:t>
            </w:r>
          </w:p>
        </w:tc>
      </w:tr>
    </w:tbl>
    <w:p>
      <w:r>
        <w:t>Visual Proof (Annotated Verification Screen Capture):</w:t>
      </w:r>
    </w:p>
    <w:p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spe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Clause 10.1.2 - Implement Lazy Loading for Images and Media</w:t>
      </w:r>
    </w:p>
    <w:p>
      <w:r>
        <w:rPr>
          <w:b/>
          <w:color w:val="008000"/>
        </w:rPr>
        <w:t>STATUS: COMPLIANT</w:t>
        <w:br/>
      </w:r>
    </w:p>
    <w:p>
      <w:r>
        <w:t>Audit Finding Detail:</w:t>
        <w:br/>
        <w:t>Sufficient lazy loading coverage verified for secondary visual content elements.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Total Visible Layout Images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Images Placed Below Viewport Fold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Lazy-loaded Below-fold Targets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Lazy Loading Compliance Ratio</w:t>
            </w:r>
          </w:p>
        </w:tc>
        <w:tc>
          <w:tcPr>
            <w:tcW w:type="dxa" w:w="4320"/>
          </w:tcPr>
          <w:p>
            <w:r>
              <w:t>100.0% (Target &gt;= 70%)</w:t>
            </w:r>
          </w:p>
        </w:tc>
      </w:tr>
    </w:tbl>
    <w:p>
      <w:r>
        <w:br w:type="page"/>
      </w:r>
    </w:p>
    <w:p>
      <w:pPr>
        <w:pStyle w:val="Heading2"/>
      </w:pPr>
      <w:r>
        <w:t>Clause 10.1.3 - Optimize Critical Rendering Path</w:t>
      </w:r>
    </w:p>
    <w:p>
      <w:r>
        <w:rPr>
          <w:b/>
          <w:color w:val="008000"/>
        </w:rPr>
        <w:t>STATUS: COMPLIANT</w:t>
        <w:br/>
      </w:r>
    </w:p>
    <w:p>
      <w:r>
        <w:t>Audit Finding Detail:</w:t>
        <w:br/>
        <w:t>Critical path optimized; synchronous scripts in the head element are strictly limited.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Total Identified Script Nodes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Asynchronous Execution Scripts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Deferred Execution Scripts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ES6 Script Module Allocations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Head-Blocking Synchronous Targets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Render-Blocking Resource Ratio</w:t>
            </w:r>
          </w:p>
        </w:tc>
        <w:tc>
          <w:tcPr>
            <w:tcW w:type="dxa" w:w="4320"/>
          </w:tcPr>
          <w:p>
            <w:r>
              <w:t>0.0% (Threshold &lt;= 20%)</w:t>
            </w:r>
          </w:p>
        </w:tc>
      </w:tr>
    </w:tbl>
    <w:p>
      <w:r>
        <w:br w:type="page"/>
      </w:r>
    </w:p>
    <w:p>
      <w:pPr>
        <w:pStyle w:val="Heading2"/>
      </w:pPr>
      <w:r>
        <w:t>Clause 10.1.4 - Implement Browser Caching</w:t>
      </w:r>
    </w:p>
    <w:p>
      <w:r>
        <w:rPr>
          <w:b/>
          <w:color w:val="008000"/>
        </w:rPr>
        <w:t>STATUS: COMPLIANT</w:t>
        <w:br/>
      </w:r>
    </w:p>
    <w:p>
      <w:r>
        <w:t>Audit Finding Detail:</w:t>
        <w:br/>
        <w:t>Static asset responses specify appropriate downstream caching directives.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Analyzed Static Content Elements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  <w:tr>
        <w:tc>
          <w:tcPr>
            <w:tcW w:type="dxa" w:w="4320"/>
          </w:tcPr>
          <w:p>
            <w:r>
              <w:t>Assets Specifying Valid Cache Directives</w:t>
            </w:r>
          </w:p>
        </w:tc>
        <w:tc>
          <w:tcPr>
            <w:tcW w:type="dxa" w:w="4320"/>
          </w:tcPr>
          <w:p>
            <w:r>
              <w:t>57</w:t>
            </w:r>
          </w:p>
        </w:tc>
      </w:tr>
      <w:tr>
        <w:tc>
          <w:tcPr>
            <w:tcW w:type="dxa" w:w="4320"/>
          </w:tcPr>
          <w:p>
            <w:r>
              <w:t>Static Resource Cache Coverage</w:t>
            </w:r>
          </w:p>
        </w:tc>
        <w:tc>
          <w:tcPr>
            <w:tcW w:type="dxa" w:w="4320"/>
          </w:tcPr>
          <w:p>
            <w:r>
              <w:t>98.28% (Target &gt;= 70%)</w:t>
            </w:r>
          </w:p>
        </w:tc>
      </w:tr>
    </w:tbl>
    <w:p>
      <w:r>
        <w:br w:type="page"/>
      </w:r>
    </w:p>
    <w:p>
      <w:pPr>
        <w:pStyle w:val="Heading2"/>
      </w:pPr>
      <w:r>
        <w:t>Clause 10.2.1 - Ensure Responsiveness for User Interactions</w:t>
      </w:r>
    </w:p>
    <w:p>
      <w:r>
        <w:rPr>
          <w:b/>
          <w:color w:val="008000"/>
        </w:rPr>
        <w:t>STATUS: COMPLIANT</w:t>
        <w:br/>
      </w:r>
    </w:p>
    <w:p>
      <w:r>
        <w:t>Audit Finding Detail:</w:t>
        <w:br/>
        <w:t>Main thread utilization profiles show no blocking UI interactions.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Maximum Execution Long Task</w:t>
            </w:r>
          </w:p>
        </w:tc>
        <w:tc>
          <w:tcPr>
            <w:tcW w:type="dxa" w:w="4320"/>
          </w:tcPr>
          <w:p>
            <w:r>
              <w:t>0 ms (Threshold &lt; 200ms)</w:t>
            </w:r>
          </w:p>
        </w:tc>
      </w:tr>
    </w:tbl>
    <w:p>
      <w:r>
        <w:br w:type="page"/>
      </w:r>
    </w:p>
    <w:p>
      <w:pPr>
        <w:pStyle w:val="Heading2"/>
      </w:pPr>
      <w:r>
        <w:t>Clause 10.2.2 - Prioritize Mobile Responsiveness</w:t>
      </w:r>
    </w:p>
    <w:p>
      <w:r>
        <w:rPr>
          <w:b/>
          <w:color w:val="008000"/>
        </w:rPr>
        <w:t>STATUS: COMPLIANT</w:t>
        <w:br/>
      </w:r>
    </w:p>
    <w:p>
      <w:r>
        <w:t>Audit Finding Detail:</w:t>
        <w:br/>
        <w:t>Layout template scales dynamically down to smartphone screens without horizontal breakage.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Calculated Render Width</w:t>
            </w:r>
          </w:p>
        </w:tc>
        <w:tc>
          <w:tcPr>
            <w:tcW w:type="dxa" w:w="4320"/>
          </w:tcPr>
          <w:p>
            <w:r>
              <w:t>415px</w:t>
            </w:r>
          </w:p>
        </w:tc>
      </w:tr>
      <w:tr>
        <w:tc>
          <w:tcPr>
            <w:tcW w:type="dxa" w:w="4320"/>
          </w:tcPr>
          <w:p>
            <w:r>
              <w:t>Device Target Width</w:t>
            </w:r>
          </w:p>
        </w:tc>
        <w:tc>
          <w:tcPr>
            <w:tcW w:type="dxa" w:w="4320"/>
          </w:tcPr>
          <w:p>
            <w:r>
              <w:t>415px</w:t>
            </w:r>
          </w:p>
        </w:tc>
      </w:tr>
      <w:tr>
        <w:tc>
          <w:tcPr>
            <w:tcW w:type="dxa" w:w="4320"/>
          </w:tcPr>
          <w:p>
            <w:r>
              <w:t>Horizontal Clip Overflow</w:t>
            </w:r>
          </w:p>
        </w:tc>
        <w:tc>
          <w:tcPr>
            <w:tcW w:type="dxa" w:w="4320"/>
          </w:tcPr>
          <w:p>
            <w:r>
              <w:t>No Overflows Detected</w:t>
            </w:r>
          </w:p>
        </w:tc>
      </w:tr>
    </w:tbl>
    <w:p>
      <w:r>
        <w:t>Visual Proof (Annotated Verification Screen Capture):</w:t>
      </w:r>
    </w:p>
    <w:p>
      <w:r>
        <w:drawing>
          <wp:inline xmlns:a="http://schemas.openxmlformats.org/drawingml/2006/main" xmlns:pic="http://schemas.openxmlformats.org/drawingml/2006/picture">
            <wp:extent cx="5303520" cy="114773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_respons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477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t>Clause 10.3.1 - Ensure Visual Stability and Layout Orientation</w:t>
      </w:r>
    </w:p>
    <w:p>
      <w:r>
        <w:rPr>
          <w:b/>
          <w:color w:val="C80000"/>
        </w:rPr>
        <w:t>STATUS: NON-COMPLIANT</w:t>
        <w:br/>
      </w:r>
    </w:p>
    <w:p>
      <w:r>
        <w:t>Audit Finding Detail:</w:t>
        <w:br/>
        <w:t>Unexpected layout movements detected during load cycles.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Cumulative Layout Shift (CLS)</w:t>
            </w:r>
          </w:p>
        </w:tc>
        <w:tc>
          <w:tcPr>
            <w:tcW w:type="dxa" w:w="4320"/>
          </w:tcPr>
          <w:p>
            <w:r>
              <w:t>0.7886 (Threshold &lt;= 0.1000)</w:t>
            </w:r>
          </w:p>
        </w:tc>
      </w:tr>
    </w:tbl>
    <w:p>
      <w:r>
        <w:br w:type="page"/>
      </w:r>
    </w:p>
    <w:p>
      <w:pPr>
        <w:pStyle w:val="Heading2"/>
      </w:pPr>
      <w:r>
        <w:t>Clause 10.3.2 - Compress and Optimize Images</w:t>
      </w:r>
    </w:p>
    <w:p>
      <w:r>
        <w:rPr>
          <w:b/>
          <w:color w:val="C80000"/>
        </w:rPr>
        <w:t>STATUS: NON-COMPLIANT</w:t>
        <w:br/>
      </w:r>
    </w:p>
    <w:p>
      <w:r>
        <w:t>Audit Finding Detail:</w:t>
        <w:br/>
        <w:t>Graphic payload sizes need optimization via compression and modern formats.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Total Evaluated Images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Next-Gen Formats (WebP/AVIF)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Oversized Source Elements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Next-Gen Format Ratio</w:t>
            </w:r>
          </w:p>
        </w:tc>
        <w:tc>
          <w:tcPr>
            <w:tcW w:type="dxa" w:w="4320"/>
          </w:tcPr>
          <w:p>
            <w:r>
              <w:t>0.0%</w:t>
            </w:r>
          </w:p>
        </w:tc>
      </w:tr>
      <w:tr>
        <w:tc>
          <w:tcPr>
            <w:tcW w:type="dxa" w:w="4320"/>
          </w:tcPr>
          <w:p>
            <w:r>
              <w:t>Oversized Resource Flaws</w:t>
            </w:r>
          </w:p>
        </w:tc>
        <w:tc>
          <w:tcPr>
            <w:tcW w:type="dxa" w:w="4320"/>
          </w:tcPr>
          <w:p>
            <w:r>
              <w:t>20.0%</w:t>
            </w:r>
          </w:p>
        </w:tc>
      </w:tr>
    </w:tbl>
    <w:p>
      <w:r>
        <w:br w:type="page"/>
      </w:r>
    </w:p>
    <w:p>
      <w:pPr>
        <w:pStyle w:val="Heading2"/>
      </w:pPr>
      <w:r>
        <w:t>Clause 10.4.1 - Minimize Third-party Scripts</w:t>
      </w:r>
    </w:p>
    <w:p>
      <w:r>
        <w:rPr>
          <w:b/>
          <w:color w:val="008000"/>
        </w:rPr>
        <w:t>STATUS: COMPLIANT</w:t>
        <w:br/>
      </w:r>
    </w:p>
    <w:p>
      <w:r>
        <w:t>Audit Finding Detail:</w:t>
        <w:br/>
        <w:t>Third-party cross-origin network dependencies are controlled.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External Script Origins</w:t>
            </w:r>
          </w:p>
        </w:tc>
        <w:tc>
          <w:tcPr>
            <w:tcW w:type="dxa" w:w="4320"/>
          </w:tcPr>
          <w:p>
            <w:r>
              <w:t>translation-plugin.bhashini.co.in</w:t>
              <w:br/>
              <w:t>www.googletagmanager.com</w:t>
            </w:r>
          </w:p>
        </w:tc>
      </w:tr>
      <w:tr>
        <w:tc>
          <w:tcPr>
            <w:tcW w:type="dxa" w:w="4320"/>
          </w:tcPr>
          <w:p>
            <w:r>
              <w:t>Origin Domain Count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</w:tbl>
    <w:p>
      <w:r>
        <w:br w:type="page"/>
      </w:r>
    </w:p>
    <w:p>
      <w:pPr>
        <w:pStyle w:val="Heading2"/>
      </w:pPr>
      <w:r>
        <w:t>Clause 10.4.2 - Utilize Content Delivery Networks (CDN)</w:t>
      </w:r>
    </w:p>
    <w:p>
      <w:r>
        <w:rPr>
          <w:b/>
          <w:color w:val="C80000"/>
        </w:rPr>
        <w:t>STATUS: NON-COMPLIANT</w:t>
        <w:br/>
      </w:r>
    </w:p>
    <w:p>
      <w:r>
        <w:t>Audit Finding Detail:</w:t>
        <w:br/>
        <w:t>Static core resources served directly from the origin server without edge optimization.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Identified CDN Platforms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r>
        <w:br w:type="page"/>
      </w:r>
    </w:p>
    <w:p>
      <w:pPr>
        <w:pStyle w:val="Heading2"/>
      </w:pPr>
      <w:r>
        <w:t>Clause 10.4.3 &amp; 10.4.4 - Regularly Monitor and Audit Web Performance Indicators</w:t>
      </w:r>
    </w:p>
    <w:p>
      <w:r>
        <w:rPr>
          <w:b/>
          <w:color w:val="C80000"/>
        </w:rPr>
        <w:t>STATUS: NON-COMPLIANT</w:t>
        <w:br/>
      </w:r>
    </w:p>
    <w:p>
      <w:r>
        <w:t>Audit Finding Detail:</w:t>
        <w:br/>
        <w:t>No instrumentation tags found; regular automated monitoring is recommended.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Performance Tool Integrations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r>
        <w:br w:type="page"/>
      </w:r>
    </w:p>
    <w:p>
      <w:pPr>
        <w:pStyle w:val="Heading2"/>
      </w:pPr>
      <w:r>
        <w:t>Clause 10.5 &amp; 10.6 - Analytics Integration &amp; Traffic Analysis</w:t>
      </w:r>
    </w:p>
    <w:p>
      <w:r>
        <w:rPr>
          <w:b/>
          <w:color w:val="008000"/>
        </w:rPr>
        <w:t>STATUS: COMPLIANT</w:t>
        <w:br/>
      </w:r>
    </w:p>
    <w:p>
      <w:r>
        <w:t>Audit Finding Detail:</w:t>
        <w:br/>
        <w:t>Robust user interaction collection online via: Google Tag Manager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Verified Component / 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Measured Compliance Observation</w:t>
            </w:r>
          </w:p>
        </w:tc>
      </w:tr>
      <w:tr>
        <w:tc>
          <w:tcPr>
            <w:tcW w:type="dxa" w:w="4320"/>
          </w:tcPr>
          <w:p>
            <w:r>
              <w:t>Resolved Traffic Engines</w:t>
            </w:r>
          </w:p>
        </w:tc>
        <w:tc>
          <w:tcPr>
            <w:tcW w:type="dxa" w:w="4320"/>
          </w:tcPr>
          <w:p>
            <w:r>
              <w:t>Google Tag Manager</w:t>
            </w:r>
          </w:p>
        </w:tc>
      </w:tr>
      <w:tr>
        <w:tc>
          <w:tcPr>
            <w:tcW w:type="dxa" w:w="4320"/>
          </w:tcPr>
          <w:p>
            <w:r>
              <w:t>Integration Verification</w:t>
            </w:r>
          </w:p>
        </w:tc>
        <w:tc>
          <w:tcPr>
            <w:tcW w:type="dxa" w:w="4320"/>
          </w:tcPr>
          <w:p>
            <w:r>
              <w:t>Verified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