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DBIM LIVE AUDIT STATUS MATRIX</w:t>
      </w:r>
    </w:p>
    <w:p>
      <w:pPr>
        <w:pStyle w:val="Heading2"/>
      </w:pPr>
      <w:r>
        <w:t>A.4 UI Layout &amp; Homepage Structural Mapping</w:t>
      </w:r>
    </w:p>
    <w:p>
      <w:r>
        <w:t>• Section 10.1.1: Web Vitals Performance Index -&gt; Status: NON-COMPLIANT</w:t>
      </w:r>
    </w:p>
    <w:p>
      <w:r>
        <w:t>• Section A.4.1.2: Multi-Page Portal Sequence Blocks -&gt; Status: COMPLIANT</w:t>
      </w:r>
    </w:p>
    <w:p>
      <w:pPr>
        <w:pStyle w:val="Heading2"/>
      </w:pPr>
      <w:r>
        <w:t>6.1 Imagery &amp; Formats Strategy</w:t>
      </w:r>
    </w:p>
    <w:p>
      <w:r>
        <w:t>• Rule 34: Approved Compression Formats -&gt; Status: COMPLIANT</w:t>
      </w:r>
    </w:p>
    <w:p>
      <w:pPr>
        <w:pStyle w:val="Heading2"/>
      </w:pPr>
      <w:r>
        <w:t>Annexure D: Header &amp; Footer Architecture</w:t>
      </w:r>
    </w:p>
    <w:p>
      <w:r>
        <w:t>• Rule 21: Organization Naming Schema Alignment -&gt; Status: COMPLIANT</w:t>
      </w:r>
    </w:p>
    <w:p>
      <w:r>
        <w:t>• Rule 25: Footer Corporate Lineage Disclosures -&gt; Status: NON-COMPLIANT</w:t>
      </w:r>
    </w:p>
    <w:p>
      <w:pPr>
        <w:pStyle w:val="Heading2"/>
      </w:pPr>
      <w:r>
        <w:t>Requirements 43/44/45: Search &amp; Discovery</w:t>
      </w:r>
    </w:p>
    <w:p>
      <w:r>
        <w:t>• Requirement 43: Input &amp; Autocomplete Response -&gt; Status: COMPLIANT</w:t>
      </w:r>
    </w:p>
    <w:p>
      <w:r>
        <w:t>• Requirement 43: Query Results Execution Profiles -&gt; Status: COMPLIANT</w:t>
      </w:r>
    </w:p>
    <w:p>
      <w:r>
        <w:t>• Requirement 44: Document PDF Searchability Profiles -&gt; Status: NON-COMPLIANT</w:t>
      </w:r>
    </w:p>
    <w:p>
      <w:r>
        <w:t>• Requirement 45: Discoverability Metadata Analysis -&gt; Status: NON-COMPLIANT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