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ICONOGRAPHY COMPLIANCE REPORT</w:t>
      </w:r>
    </w:p>
    <w:p>
      <w:r>
        <w:t>2026-05-25 11:57:00</w:t>
      </w:r>
    </w:p>
    <w:p>
      <w:pPr>
        <w:pStyle w:val="Heading2"/>
      </w:pPr>
      <w:r>
        <w:t>Icon 0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2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3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4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5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6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7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8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9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10</w:t>
      </w:r>
    </w:p>
    <w:p>
      <w:r>
        <w:t>STATUS: NON-COMPLIANT</w:t>
      </w:r>
    </w:p>
    <w:p/>
    <w:p>
      <w:r>
        <w:drawing>
          <wp:inline xmlns:a="http://schemas.openxmlformats.org/drawingml/2006/main" xmlns:pic="http://schemas.openxmlformats.org/drawingml/2006/picture">
            <wp:extent cx="6400800" cy="30319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