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DBIM SEARCH COMPLIANCE REPORT</w:t>
      </w:r>
    </w:p>
    <w:p>
      <w:pPr>
        <w:pStyle w:val="Heading2"/>
      </w:pPr>
      <w:r>
        <w:t>WEBSITE OPENED</w:t>
      </w:r>
    </w:p>
    <w:p>
      <w:r>
        <w:t>Website loaded successfully.</w:t>
      </w:r>
    </w:p>
    <w:p>
      <w:r>
        <w:drawing>
          <wp:inline xmlns:a="http://schemas.openxmlformats.org/drawingml/2006/main" xmlns:pic="http://schemas.openxmlformats.org/drawingml/2006/picture">
            <wp:extent cx="5029200" cy="567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7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REQ 43 - SEARCH DETECTED</w:t>
      </w:r>
    </w:p>
    <w:p>
      <w:r>
        <w:t>Search bar found.</w:t>
      </w:r>
    </w:p>
    <w:p>
      <w:r>
        <w:drawing>
          <wp:inline xmlns:a="http://schemas.openxmlformats.org/drawingml/2006/main" xmlns:pic="http://schemas.openxmlformats.org/drawingml/2006/picture">
            <wp:extent cx="5029200" cy="5671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fou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718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