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LEGACY MIGRATION MATRIX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Evidence-based Migration / Cutover / Rollback</w:t>
      </w:r>
    </w:p>
    <w:p>
      <w:pPr>
        <w:pStyle w:val="Heading1"/>
      </w:pPr>
      <w:r>
        <w:t>0. 중요한 제한</w:t>
      </w:r>
    </w:p>
    <w:p>
      <w:r>
        <w:rPr>
          <w:rFonts w:ascii="Noto Sans CJK KR" w:hAnsi="Noto Sans CJK KR" w:eastAsia="Noto Sans CJK KR"/>
          <w:sz w:val="19"/>
        </w:rPr>
        <w:t>현재 첨부 개발 정본은 Legacy 기능 범주를 설명하지만 실제 Legacy DB table/column/route 이름을 제공하지 않는다. 따라서 아래 Matrix의 Legacy Source Identifier는 READ-ONLY Audit에서 채워야 하며, Codex가 추정하여 확정하면 안 된다.</w:t>
      </w:r>
    </w:p>
    <w:p>
      <w:pPr>
        <w:pStyle w:val="Heading1"/>
      </w:pPr>
      <w:r>
        <w:t>1. Migration State Machine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INVENTORY → ADAPTER_READ → SHADOW_WRITE → DUAL_VERIFY → CUTOVER → DECOMMISSION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                 ↘ ROLLBACK_READY ↙</w:t>
      </w:r>
    </w:p>
    <w:p>
      <w:pPr>
        <w:pStyle w:val="Heading1"/>
      </w:pPr>
      <w:r>
        <w:t>2. Domain Migration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94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096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Legacy evidence required</w:t>
            </w:r>
          </w:p>
        </w:tc>
        <w:tc>
          <w:tcPr>
            <w:tcW w:type="dxa" w:w="244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V2 owner</w:t>
            </w:r>
          </w:p>
        </w:tc>
        <w:tc>
          <w:tcPr>
            <w:tcW w:type="dxa" w:w="180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Initial mode</w:t>
            </w:r>
          </w:p>
        </w:tc>
        <w:tc>
          <w:tcPr>
            <w:tcW w:type="dxa" w:w="223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Cutover Gate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Auth/User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 provider, user IDs, login/session behavior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core.users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adapter/read-through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account match + login E2E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Organization/Team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org/team keys, membership, season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core.organizations/teams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adapter read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row counts + membership parity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Player Profile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profile, position, number, history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core.athlete_profiles/team_memberships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adapter read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player projection parity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Guardian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existing parent links/consent behavior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guardian_links/consent_records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adapter + controlled migrate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minor access negative tests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Schedule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training/match/event dates + recurrence/change behavior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football.schedule_events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adapter read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calendar parity + notification parity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Attendance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response/check-in semantics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football.attendance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adapter read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status mapping approved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Training Program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existing 40 programs/10 courses or actual equivalent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training_plans/revisions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reference import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template version audit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Match Records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existing match/result/event semantics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football.matches/events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adapter read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canonical match map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all current feed/post/comment/media/moderation features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 Adapter then V2 tables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LEGACY WRITE OWNER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 Parity Gate PASS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Media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storage keys, URLs, permissions, thumbnails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media.assets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metadata adapter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asset access + checksum sample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Notifications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push/in-app thread/read/response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platform.notifications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parallel/shadow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delivery/read parity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Roles/Admin</w:t>
            </w:r>
          </w:p>
        </w:tc>
        <w:tc>
          <w:tcPr>
            <w:tcW w:type="dxa" w:w="309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 staff/admin privileges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role grants + admin cases</w:t>
            </w:r>
          </w:p>
        </w:tc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manual verified mapping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no privilege escalation</w:t>
            </w:r>
          </w:p>
        </w:tc>
      </w:tr>
    </w:tbl>
    <w:p/>
    <w:p>
      <w:pPr>
        <w:pStyle w:val="Heading1"/>
      </w:pPr>
      <w:r>
        <w:t>3. Evidence Pack per Domain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Code references: route/controller/service/repository paths.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DB evidence: table/column/index/constraint and representative non-sensitive counts.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Runtime evidence: API request/response or UI flow screenshots/logs where allowed.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Write ownership: which system is authoritative during each stage.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Rollback: concrete restore/reverse-route procedure and tested timestamp.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Parity exceptions: owner, reason, user impact, approval, expiration.</w:t>
      </w:r>
    </w:p>
    <w:p>
      <w:pPr>
        <w:pStyle w:val="Heading1"/>
      </w:pPr>
      <w:r>
        <w:t>4. Identifier Mapping Rules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Legacy primary IDs are stored as legacy_source_ref or mapping table; do not reuse opaque legacy IDs as V2 UUID primary keys unless audit proves safe.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Migration must be idempotent. Re-running a batch cannot create duplicate athlete/team/post/media objects.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Time values preserve original timezone/offset semantics and original created/updated timestamps where legally/technically appropriate.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Deleted/suspended/hidden records require explicit state mapping; absence is not treated as deletion.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 ordering cursor must remain stable during parity phase.</w:t>
      </w:r>
    </w:p>
    <w:p>
      <w:pPr>
        <w:pStyle w:val="Heading1"/>
      </w:pPr>
      <w:r>
        <w:t>5. Cutover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Check</w:t>
            </w:r>
          </w:p>
        </w:tc>
        <w:tc>
          <w:tcPr>
            <w:tcW w:type="dxa" w:w="734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Required proof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Backup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restorable backup + checksum/size + restore drill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Freeze window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approved write freeze or dual-write plan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Counts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source/target counts with explained exclusions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Referential integrity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orphan count 0 or approved exceptions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Permission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negative tests for other athlete/team/tenant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Parity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golden scenario + production sample comparison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Rollback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re-route/read-owner reversal tested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Monitoring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error/latency/mismatch dashboards active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