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drawing>
          <wp:inline distT="0" distB="0" distL="0" distR="0">
            <wp:extent cx="18097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3B5FE0"/>
          <w:sz w:val="40"/>
          <w:szCs w:val="40"/>
        </w:rPr>
        <w:t xml:space="preserve">Kontekst firme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Poslednje ažurirano: 16. avgust 2026.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0"/>
          <w:szCs w:val="20"/>
        </w:rPr>
        <w:t xml:space="preserve">Ovaj dokument uploaduj na početku razgovora kad god treba pun kontekst o firmi. Ažuriraj ga kad god se nešto promeni.</w:t>
      </w:r>
    </w:p>
    <w:p>
      <w:pPr>
        <w:pStyle w:val="Heading1"/>
        <w:spacing w:after="160" w:before="320"/>
      </w:pPr>
      <w:r>
        <w:t xml:space="preserve">1. Osnovne informacije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Naziv: APLORY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Sedište: Novi Sad, Srbija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Website: uskoro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Pravni status: TBD — puno registrovano ime, PIB, matični broj, šifra delatnosti, adresa sedišta</w:t>
      </w:r>
    </w:p>
    <w:p>
      <w:pPr>
        <w:pStyle w:val="Heading1"/>
        <w:spacing w:after="160" w:before="320"/>
      </w:pPr>
      <w:r>
        <w:t xml:space="preserve">2. Usluge / Proizvodi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Voice AI (glasovni agent za dolazne pozive)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Missed Call Text-Back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 Reactivation SMS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Website Chat Widget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Review Agent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/ Instagram / Viber DM Agent</w:t>
      </w:r>
    </w:p>
    <w:p>
      <w:pPr>
        <w:spacing w:after="120"/>
      </w:pPr>
      <w:r>
        <w:t xml:space="preserve">TBD — cenovnik/paketi za svaku uslugu (setup fee + mesečno ili kako je strukturirano).</w:t>
      </w:r>
    </w:p>
    <w:p>
      <w:pPr>
        <w:pStyle w:val="Heading1"/>
        <w:spacing w:after="160" w:before="320"/>
      </w:pPr>
      <w:r>
        <w:t xml:space="preserve">3. Ciljna tržišta / Niše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Stomatološke ordinacije (glavna niša)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PVC/ALU stolarija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 Spa &amp; Beauty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HVAC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Veterinari</w:t>
      </w:r>
    </w:p>
    <w:p>
      <w:pPr>
        <w:pStyle w:val="Heading1"/>
        <w:spacing w:after="160" w:before="320"/>
      </w:pPr>
      <w:r>
        <w:t xml:space="preserve">4. Tech stack</w:t>
      </w:r>
    </w:p>
    <w:p>
      <w:pPr>
        <w:spacing w:after="120"/>
      </w:pPr>
      <w:r>
        <w:t xml:space="preserve">GoHighLevel, ElevenLabs, Twilio, Instantly, Apify, MillionVerifier, BetterContact, Claude</w:t>
      </w:r>
    </w:p>
    <w:p>
      <w:pPr>
        <w:pStyle w:val="Heading1"/>
        <w:spacing w:after="160" w:before="320"/>
      </w:pPr>
      <w:r>
        <w:t xml:space="preserve">5. Kontakt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Email: stefanvujic869@gmail.com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Telefon: 069 844 0 885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Kanali: WhatsApp, Viber, SMS</w:t>
      </w:r>
    </w:p>
    <w:p>
      <w:pPr>
        <w:pStyle w:val="Heading1"/>
        <w:spacing w:after="160" w:before="320"/>
      </w:pPr>
      <w:r>
        <w:t xml:space="preserve">6. Zakonska regulativa (Srbija) — relevantno za outreach i marketing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Zakon o elektronskoj trgovini ("Sl. glasnik RS" br. 41/2009, 95/2013, 52/2019), član 8 — komercijalna elektronska poruka dozvoljena samo uz prethodni pristanak primaoca.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Zakon o oglašavanju ("Sl. glasnik RS" br. 6/2016, 52/2019), član 63 — prethodni pristanak obavezan za direktno oglašavanje fizičkim licima; pravo na opoziv u svakom trenutku.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Zakon o zaštiti podataka o ličnosti (ZZPL) ("Sl. glasnik RS" br. 87/2018), član 17 — naročito osetljivi podaci (npr. zdravstveni) zahtevaju eksplicitnu saglasnost. U primeni od 22. avgusta 2019, nadzor vrši Poverenik.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Zakon o zaštiti potrošača, član 38 — ograničava nesolicitovano direktno oglašavanje telefonom, faksom i mejlom.</w:t>
      </w:r>
    </w:p>
    <w:p>
      <w:pPr>
        <w:spacing w:after="120" w:before="120"/>
      </w:pPr>
      <w:r>
        <w:rPr>
          <w:b/>
          <w:bCs/>
        </w:rPr>
        <w:t xml:space="preserve">Praktična implikacija: </w:t>
      </w:r>
      <w:r>
        <w:t xml:space="preserve">cold email ograničen na generičke adrese pravnih lica (info@, ordinacija@); Lead Reactivation SMS zahteva eksplicitan marketing consent checkbox; Missed Call Text-Back i inbound Voice AI su pravno najčistiji proizvodi.</w:t>
      </w:r>
    </w:p>
    <w:p>
      <w:pPr>
        <w:pStyle w:val="Heading1"/>
        <w:spacing w:after="160" w:before="320"/>
      </w:pPr>
      <w:r>
        <w:t xml:space="preserve">7. Nedostaje / dopuniti kasnije</w:t>
      </w:r>
    </w:p>
    <w:p>
      <w:pPr>
        <w:spacing w:after="8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Pravni podaci (puno ime, PIB, matični broj, adresa)</w:t>
      </w:r>
    </w:p>
    <w:p>
      <w:pPr>
        <w:spacing w:after="8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Cenovnik / paketi po proizvodu</w:t>
      </w:r>
    </w:p>
    <w:p>
      <w:pPr>
        <w:spacing w:after="8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Value proposition u sopstvenim rečima</w:t>
      </w:r>
    </w:p>
    <w:p>
      <w:pPr>
        <w:spacing w:after="8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Status mentorship programa (Oliver &amp; Albert, 45 dana) — trenutni milestone</w:t>
      </w:r>
    </w:p>
    <w:p>
      <w:pPr>
        <w:spacing w:after="8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Brend ton/glas komunikacije</w:t>
      </w:r>
    </w:p>
    <w:p>
      <w:pPr>
        <w:spacing w:after="8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Konkurencija (npr. Bolutions, 360Serbia) — ažurirano ako se nešto promenilo</w:t>
      </w:r>
    </w:p>
    <w:p>
      <w:pPr>
        <w:spacing w:after="8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Ciljevi za tekući kvartal</w:t>
      </w:r>
    </w:p>
    <w:p>
      <w:pPr>
        <w:spacing w:after="8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Bilo šta drugo ključno o firmi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3B5FE0" w:sz="6" w:space="4"/>
      </w:pBdr>
      <w:spacing w:after="160" w:before="320"/>
    </w:pPr>
    <w:rPr>
      <w:rFonts w:ascii="Calibri" w:cs="Calibri" w:eastAsia="Calibri" w:hAnsi="Calibri"/>
      <w:b/>
      <w:bCs/>
      <w:color w:val="3B5FE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5c7bdd8bb5de6ab3348d7460149c6d270f7cd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2026-08-16T16:06:37.480Z</dcterms:created>
  <dcterms:modified xsi:type="dcterms:W3CDTF">2026-08-16T16:06:37.491Z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