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第2章-usv数学模型建立"/>
    <w:p>
      <w:pPr>
        <w:pStyle w:val="Heading1"/>
      </w:pPr>
      <w:r>
        <w:t xml:space="preserve">第2章 USV数学模型建立</w:t>
      </w:r>
    </w:p>
    <w:p>
      <w:pPr>
        <w:pStyle w:val="FirstParagraph"/>
      </w:pPr>
      <w:r>
        <w:t xml:space="preserve">本章在第一章绪论的基础上，围绕欠驱动水面无人艇轨迹跟踪控制问题，建立后续控制器设计所需的数学模型。由于本文研究重点是USV在水平面内的轨迹跟踪性能，因此在建模过程中主要考虑纵荡、横荡和艏摇三个自由度，并在兼顾物理意义与控制设计便利性的前提下，对船体结构、运行工况及环境作用作适当简化。通过建立地固坐标系和体固坐标系，推导USV的运动学方程、动力学方程以及风浪流综合扰动模型，可以为第三章的模糊自适应控制律设计和稳定性分析提供统一的理论基础。</w:t>
      </w:r>
    </w:p>
    <w:p>
      <w:pPr>
        <w:pStyle w:val="BodyText"/>
      </w:pPr>
      <w:r>
        <w:t xml:space="preserve">在实际工程中，USV是一个典型的强耦合、非线性、欠驱动系统。其质量分布、水动力系数和外部扰动都具有明显的不确定性，若直接基于高维完整模型进行控制器设计，不仅会增加参数辨识难度，也会加重后续理论推导负担。因此，本文参考Fossen船舶运动建模思想，将研究对象简化为中低速航行条件下的三自由度平面运动模型，忽略升沉、横摇和纵摇等垂向自由度，同时将未建模动态、参数摄动与环境干扰统一归入总扰动项中处理。这样的处理方式既保留了USV轨迹跟踪问题的主要动力学特征，也便于后续引入模糊逻辑系统对未知项进行在线逼近。</w:t>
      </w:r>
    </w:p>
    <w:bookmarkStart w:id="22" w:name="坐标系建立与状态变量定义"/>
    <w:p>
      <w:pPr>
        <w:pStyle w:val="Heading2"/>
      </w:pPr>
      <w:r>
        <w:t xml:space="preserve">2.1 坐标系建立与状态变量定义</w:t>
      </w:r>
    </w:p>
    <w:bookmarkStart w:id="20" w:name="地固坐标系与体固坐标系"/>
    <w:p>
      <w:pPr>
        <w:pStyle w:val="Heading3"/>
      </w:pPr>
      <w:r>
        <w:t xml:space="preserve">2.1.1 地固坐标系与体固坐标系</w:t>
      </w:r>
    </w:p>
    <w:p>
      <w:pPr>
        <w:pStyle w:val="FirstParagraph"/>
      </w:pPr>
      <w:r>
        <w:t xml:space="preserve">为了准确描述USV在水平面内的运动状态，需要建立两个相互关联的坐标系。其一为地固坐标系 </w:t>
      </w:r>
      <m:oMath>
        <m:r>
          <m:rPr>
            <m:sty m:val="p"/>
          </m:rPr>
          <m:t>{</m:t>
        </m:r>
        <m:r>
          <m:t>O</m:t>
        </m:r>
        <m:r>
          <m:rPr>
            <m:sty m:val="p"/>
          </m:rPr>
          <m:t>−</m:t>
        </m:r>
        <m:r>
          <m:t>XY</m:t>
        </m:r>
        <m:r>
          <m:rPr>
            <m:sty m:val="p"/>
          </m:rPr>
          <m:t>}</m:t>
        </m:r>
      </m:oMath>
      <w:r>
        <w:t xml:space="preserve">，该坐标系固定于地面或海面参考系中，用于描述USV在全局环境中的绝对位置；其二为体固坐标系 </w:t>
      </w:r>
      <m:oMath>
        <m:r>
          <m:rPr>
            <m:sty m:val="p"/>
          </m:rPr>
          <m:t>{</m:t>
        </m:r>
        <m:r>
          <m:t>o</m:t>
        </m:r>
        <m:r>
          <m:rPr>
            <m:sty m:val="p"/>
          </m:rPr>
          <m:t>−</m:t>
        </m:r>
        <m:r>
          <m:t>xy</m:t>
        </m:r>
        <m:r>
          <m:rPr>
            <m:sty m:val="p"/>
          </m:rPr>
          <m:t>}</m:t>
        </m:r>
      </m:oMath>
      <w:r>
        <w:t xml:space="preserve">，原点通常取在USV质心附近或控制参考点处，</w:t>
      </w:r>
      <m:oMath>
        <m:r>
          <m:t>x</m:t>
        </m:r>
      </m:oMath>
      <w:r>
        <w:t xml:space="preserve"> 轴沿船体首向指向前方，</w:t>
      </w:r>
      <m:oMath>
        <m:r>
          <m:t>y</m:t>
        </m:r>
      </m:oMath>
      <w:r>
        <w:t xml:space="preserve"> 轴垂直于 </w:t>
      </w:r>
      <m:oMath>
        <m:r>
          <m:t>x</m:t>
        </m:r>
      </m:oMath>
      <w:r>
        <w:t xml:space="preserve"> 轴指向左舷方向。地固坐标系适用于描述路径规划和轨迹目标，体固坐标系则更适合表达船体速度、受力和控制输入，二者结合能够完整表征USV的平面运动过程。</w:t>
      </w:r>
    </w:p>
    <w:p>
      <w:pPr>
        <w:pStyle w:val="BodyText"/>
      </w:pPr>
    </w:p>
    <w:p>
      <w:pPr>
        <w:pStyle w:val="BodyText"/>
      </w:pPr>
      <w:r>
        <w:t xml:space="preserve">图2-1 USV地固坐标系与体固坐标系定义</w:t>
      </w:r>
    </w:p>
    <w:p>
      <w:pPr>
        <w:pStyle w:val="BodyText"/>
      </w:pPr>
      <w:r>
        <w:t xml:space="preserve">图中符号说明如下：</w:t>
      </w:r>
      <m:oMath>
        <m:r>
          <m:t>O</m:t>
        </m:r>
        <m:r>
          <m:rPr>
            <m:sty m:val="p"/>
          </m:rPr>
          <m:t>−</m:t>
        </m:r>
        <m:r>
          <m:t>XY</m:t>
        </m:r>
      </m:oMath>
      <w:r>
        <w:t xml:space="preserve"> 表示地固坐标系，用于描述USV在全局环境中的绝对位置；</w:t>
      </w:r>
      <m:oMath>
        <m:r>
          <m:t>o</m:t>
        </m:r>
        <m:r>
          <m:rPr>
            <m:sty m:val="p"/>
          </m:rPr>
          <m:t>−</m:t>
        </m:r>
        <m:sSub>
          <m:e>
            <m:r>
              <m:t>x</m:t>
            </m:r>
          </m:e>
          <m:sub>
            <m:r>
              <m:t>b</m:t>
            </m:r>
          </m:sub>
        </m:sSub>
        <m:sSub>
          <m:e>
            <m:r>
              <m:t>y</m:t>
            </m:r>
          </m:e>
          <m:sub>
            <m:r>
              <m:t>b</m:t>
            </m:r>
          </m:sub>
        </m:sSub>
      </m:oMath>
      <w:r>
        <w:t xml:space="preserve"> 表示体固坐标系，其原点 </w:t>
      </w:r>
      <m:oMath>
        <m:r>
          <m:t>o</m:t>
        </m:r>
      </m:oMath>
      <w:r>
        <w:t xml:space="preserve"> 取在船体参考点处，</w:t>
      </w:r>
      <m:oMath>
        <m:sSub>
          <m:e>
            <m:r>
              <m:t>x</m:t>
            </m:r>
          </m:e>
          <m:sub>
            <m:r>
              <m:t>b</m:t>
            </m:r>
          </m:sub>
        </m:sSub>
      </m:oMath>
      <w:r>
        <w:t xml:space="preserve"> 轴沿船体首向指向前方，</w:t>
      </w:r>
      <m:oMath>
        <m:sSub>
          <m:e>
            <m:r>
              <m:t>y</m:t>
            </m:r>
          </m:e>
          <m:sub>
            <m:r>
              <m:t>b</m:t>
            </m:r>
          </m:sub>
        </m:sSub>
      </m:oMath>
      <w:r>
        <w:t xml:space="preserve"> 轴垂直于 </w:t>
      </w:r>
      <m:oMath>
        <m:sSub>
          <m:e>
            <m:r>
              <m:t>x</m:t>
            </m:r>
          </m:e>
          <m:sub>
            <m:r>
              <m:t>b</m:t>
            </m:r>
          </m:sub>
        </m:sSub>
      </m:oMath>
      <w:r>
        <w:t xml:space="preserve"> 轴指向左舷方向；</w:t>
      </w:r>
      <m:oMath>
        <m:r>
          <m:t>x</m:t>
        </m:r>
      </m:oMath>
      <w:r>
        <w:t xml:space="preserve"> 和 </w:t>
      </w:r>
      <m:oMath>
        <m:r>
          <m:t>y</m:t>
        </m:r>
      </m:oMath>
      <w:r>
        <w:t xml:space="preserve"> 分别表示点 </w:t>
      </w:r>
      <m:oMath>
        <m:r>
          <m:t>o</m:t>
        </m:r>
      </m:oMath>
      <w:r>
        <w:t xml:space="preserve"> 在地固坐标系中的横纵向坐标；</w:t>
      </w:r>
      <m:oMath>
        <m:r>
          <m:t>ψ</m:t>
        </m:r>
      </m:oMath>
      <w:r>
        <w:t xml:space="preserve"> 表示体固坐标系相对于地固坐标系的艏向角。图2-1的作用是建立后续运动学建模中位置变量与姿态变量的几何参考框架。</w:t>
      </w:r>
    </w:p>
    <w:p>
      <w:pPr>
        <w:pStyle w:val="BodyText"/>
      </w:pPr>
      <w:r>
        <w:t xml:space="preserve">在地固坐标系中，USV的位置和姿态向量定义为：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η</m:t>
                </m:r>
                <m:r>
                  <m:rPr>
                    <m:sty m:val="p"/>
                  </m:rPr>
                  <m:t>=</m:t>
                </m:r>
                <m:sSup>
                  <m:e>
                    <m:d>
                      <m:dPr>
                        <m:begChr m:val="["/>
                        <m:endChr m:val="]"/>
                        <m:sepChr m:val=""/>
                        <m:grow/>
                      </m:dPr>
                      <m:e>
                        <m:r>
                          <m:t>x</m:t>
                        </m:r>
                        <m:r>
                          <m:rPr>
                            <m:sty m:val="p"/>
                          </m:rPr>
                          <m:t>,</m:t>
                        </m:r>
                        <m:r>
                          <m:t>y</m:t>
                        </m:r>
                        <m:r>
                          <m:rPr>
                            <m:sty m:val="p"/>
                          </m:rPr>
                          <m:t>,</m:t>
                        </m:r>
                        <m:r>
                          <m:t>ψ</m:t>
                        </m:r>
                      </m:e>
                    </m:d>
                  </m:e>
                  <m:sup>
                    <m:r>
                      <m:t>T</m:t>
                    </m:r>
                  </m:sup>
                </m:sSup>
              </m:oMath>
            </m:oMathPara>
          </w:p>
        </w:tc>
        <w:tc>
          <w:tcPr>
            <w:tcW w:w="1500" w:type="dxa"/>
            <w:tcBorders>
              <w:top w:val="none" w:sz="0" w:space="0" w:color="auto"/>
              <w:left w:val="none" w:sz="0" w:space="0" w:color="auto"/>
              <w:bottom w:val="none" w:sz="0" w:space="0" w:color="auto"/>
              <w:right w:val="none" w:sz="0" w:space="0" w:color="auto"/>
            </w:tcBorders>
          </w:tcPr>
          <w:p>
            <w:pPr>
              <w:jc w:val="right"/>
            </w:pPr>
            <w:r>
              <w:t>(2.1)</w:t>
            </w:r>
          </w:p>
        </w:tc>
      </w:tr>
    </w:tbl>
    <w:p>
      <w:pPr>
        <w:pStyle w:val="FirstParagraph"/>
      </w:pPr>
      <w:r>
        <w:t xml:space="preserve">其中，</w:t>
      </w:r>
      <m:oMath>
        <m:r>
          <m:t>x</m:t>
        </m:r>
      </m:oMath>
      <w:r>
        <w:t xml:space="preserve"> 和 </w:t>
      </w:r>
      <m:oMath>
        <m:r>
          <m:t>y</m:t>
        </m:r>
      </m:oMath>
      <w:r>
        <w:t xml:space="preserve"> 分别表示USV在地固坐标系中的横纵向位置坐标，</w:t>
      </w:r>
      <m:oMath>
        <m:r>
          <m:t>ψ</m:t>
        </m:r>
      </m:oMath>
      <w:r>
        <w:t xml:space="preserve"> 表示艏向角。与之对应，在体固坐标系中，USV的速度向量可写为：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ν</m:t>
                </m:r>
                <m:r>
                  <m:rPr>
                    <m:sty m:val="p"/>
                  </m:rPr>
                  <m:t>=</m:t>
                </m:r>
                <m:sSup>
                  <m:e>
                    <m:d>
                      <m:dPr>
                        <m:begChr m:val="["/>
                        <m:endChr m:val="]"/>
                        <m:sepChr m:val=""/>
                        <m:grow/>
                      </m:dPr>
                      <m:e>
                        <m:r>
                          <m:t>u</m:t>
                        </m:r>
                        <m:r>
                          <m:rPr>
                            <m:sty m:val="p"/>
                          </m:rPr>
                          <m:t>,</m:t>
                        </m:r>
                        <m:r>
                          <m:t>v</m:t>
                        </m:r>
                        <m:r>
                          <m:rPr>
                            <m:sty m:val="p"/>
                          </m:rPr>
                          <m:t>,</m:t>
                        </m:r>
                        <m:r>
                          <m:t>r</m:t>
                        </m:r>
                      </m:e>
                    </m:d>
                  </m:e>
                  <m:sup>
                    <m:r>
                      <m:t>T</m:t>
                    </m:r>
                  </m:sup>
                </m:sSup>
              </m:oMath>
            </m:oMathPara>
          </w:p>
        </w:tc>
        <w:tc>
          <w:tcPr>
            <w:tcW w:w="1500" w:type="dxa"/>
            <w:tcBorders>
              <w:top w:val="none" w:sz="0" w:space="0" w:color="auto"/>
              <w:left w:val="none" w:sz="0" w:space="0" w:color="auto"/>
              <w:bottom w:val="none" w:sz="0" w:space="0" w:color="auto"/>
              <w:right w:val="none" w:sz="0" w:space="0" w:color="auto"/>
            </w:tcBorders>
          </w:tcPr>
          <w:p>
            <w:pPr>
              <w:jc w:val="right"/>
            </w:pPr>
            <w:r>
              <w:t>(2.2)</w:t>
            </w:r>
          </w:p>
        </w:tc>
      </w:tr>
    </w:tbl>
    <w:p>
      <w:pPr>
        <w:pStyle w:val="FirstParagraph"/>
      </w:pPr>
      <w:r>
        <w:t xml:space="preserve">其中，</w:t>
      </w:r>
      <m:oMath>
        <m:r>
          <m:t>u</m:t>
        </m:r>
      </m:oMath>
      <w:r>
        <w:t xml:space="preserve"> 为纵荡速度，</w:t>
      </w:r>
      <m:oMath>
        <m:r>
          <m:t>v</m:t>
        </m:r>
      </m:oMath>
      <w:r>
        <w:t xml:space="preserve"> 为横荡速度，</w:t>
      </w:r>
      <m:oMath>
        <m:r>
          <m:t>r</m:t>
        </m:r>
      </m:oMath>
      <w:r>
        <w:t xml:space="preserve"> 为艏摇角速度。式（2.1）与式（2.2）分别从位姿和速度两个层面描述了USV三自由度平面运动状态，是后续建立运动学和动力学模型的基础。</w:t>
      </w:r>
    </w:p>
    <w:p>
      <w:pPr>
        <w:pStyle w:val="BodyText"/>
      </w:pPr>
      <w:r>
        <w:rPr>
          <w:bCs/>
          <w:b/>
        </w:rPr>
        <w:t xml:space="preserve">表2-1 USV三自由度模型主要符号说明</w:t>
      </w:r>
    </w:p>
    <w:tbl>
      <w:tblPr>
        <w:tblStyle w:val="Table"/>
        <w:tblW w:type="pct" w:w="5000"/>
        <w:tblLook w:firstRow="1" w:lastRow="0" w:firstColumn="0" w:lastColumn="0" w:noHBand="0" w:noVBand="0" w:val="0020"/>
        <w:jc w:val="start"/>
      </w:tblPr>
      <w:tblGrid>
        <w:gridCol w:w="990"/>
        <w:gridCol w:w="2178"/>
        <w:gridCol w:w="4752"/>
      </w:tblGrid>
      <w:tr>
        <w:trPr>
          <w:tblHeader w:val="true"/>
        </w:trPr>
        <w:tc>
          <w:tcPr/>
          <w:p>
            <w:pPr>
              <w:pStyle w:val="Compact"/>
              <w:jc w:val="left"/>
            </w:pPr>
            <w:r>
              <w:t xml:space="preserve">符号</w:t>
            </w:r>
          </w:p>
        </w:tc>
        <w:tc>
          <w:tcPr/>
          <w:p>
            <w:pPr>
              <w:pStyle w:val="Compact"/>
              <w:jc w:val="left"/>
            </w:pPr>
            <w:r>
              <w:t xml:space="preserve">物理意义</w:t>
            </w:r>
          </w:p>
        </w:tc>
        <w:tc>
          <w:tcPr/>
          <w:p>
            <w:pPr>
              <w:pStyle w:val="Compact"/>
              <w:jc w:val="left"/>
            </w:pPr>
            <w:r>
              <w:t xml:space="preserve">单位</w:t>
            </w:r>
          </w:p>
        </w:tc>
      </w:tr>
      <w:tr>
        <w:tc>
          <w:tcPr/>
          <w:p>
            <w:pPr>
              <w:pStyle w:val="Compact"/>
              <w:jc w:val="left"/>
            </w:pPr>
            <m:oMath>
              <m:r>
                <m:t>x</m:t>
              </m:r>
              <m:r>
                <m:rPr>
                  <m:sty m:val="p"/>
                </m:rPr>
                <m:t>,</m:t>
              </m:r>
              <m:r>
                <m:t>y</m:t>
              </m:r>
            </m:oMath>
          </w:p>
        </w:tc>
        <w:tc>
          <w:tcPr/>
          <w:p>
            <w:pPr>
              <w:pStyle w:val="Compact"/>
              <w:jc w:val="left"/>
            </w:pPr>
            <w:r>
              <w:t xml:space="preserve">地固坐标系中的位置坐标</w:t>
            </w:r>
          </w:p>
        </w:tc>
        <w:tc>
          <w:tcPr/>
          <w:p>
            <w:pPr>
              <w:pStyle w:val="Compact"/>
              <w:jc w:val="left"/>
            </w:pPr>
            <w:r>
              <w:t xml:space="preserve">m</w:t>
            </w:r>
          </w:p>
        </w:tc>
      </w:tr>
      <w:tr>
        <w:tc>
          <w:tcPr/>
          <w:p>
            <w:pPr>
              <w:pStyle w:val="Compact"/>
              <w:jc w:val="left"/>
            </w:pPr>
            <m:oMath>
              <m:r>
                <m:t>ψ</m:t>
              </m:r>
            </m:oMath>
          </w:p>
        </w:tc>
        <w:tc>
          <w:tcPr/>
          <w:p>
            <w:pPr>
              <w:pStyle w:val="Compact"/>
              <w:jc w:val="left"/>
            </w:pPr>
            <w:r>
              <w:t xml:space="preserve">艏向角</w:t>
            </w:r>
          </w:p>
        </w:tc>
        <w:tc>
          <w:tcPr/>
          <w:p>
            <w:pPr>
              <w:pStyle w:val="Compact"/>
              <w:jc w:val="left"/>
            </w:pPr>
            <w:r>
              <w:t xml:space="preserve">rad</w:t>
            </w:r>
          </w:p>
        </w:tc>
      </w:tr>
      <w:tr>
        <w:tc>
          <w:tcPr/>
          <w:p>
            <w:pPr>
              <w:pStyle w:val="Compact"/>
              <w:jc w:val="left"/>
            </w:pPr>
            <m:oMath>
              <m:r>
                <m:t>u</m:t>
              </m:r>
            </m:oMath>
          </w:p>
        </w:tc>
        <w:tc>
          <w:tcPr/>
          <w:p>
            <w:pPr>
              <w:pStyle w:val="Compact"/>
              <w:jc w:val="left"/>
            </w:pPr>
            <w:r>
              <w:t xml:space="preserve">纵荡速度</w:t>
            </w:r>
          </w:p>
        </w:tc>
        <w:tc>
          <w:tcPr/>
          <w:p>
            <w:pPr>
              <w:pStyle w:val="Compact"/>
              <w:jc w:val="left"/>
            </w:pPr>
            <w:r>
              <w:t xml:space="preserve">m/s</w:t>
            </w:r>
          </w:p>
        </w:tc>
      </w:tr>
      <w:tr>
        <w:tc>
          <w:tcPr/>
          <w:p>
            <w:pPr>
              <w:pStyle w:val="Compact"/>
              <w:jc w:val="left"/>
            </w:pPr>
            <m:oMath>
              <m:r>
                <m:t>v</m:t>
              </m:r>
            </m:oMath>
          </w:p>
        </w:tc>
        <w:tc>
          <w:tcPr/>
          <w:p>
            <w:pPr>
              <w:pStyle w:val="Compact"/>
              <w:jc w:val="left"/>
            </w:pPr>
            <w:r>
              <w:t xml:space="preserve">横荡速度</w:t>
            </w:r>
          </w:p>
        </w:tc>
        <w:tc>
          <w:tcPr/>
          <w:p>
            <w:pPr>
              <w:pStyle w:val="Compact"/>
              <w:jc w:val="left"/>
            </w:pPr>
            <w:r>
              <w:t xml:space="preserve">m/s</w:t>
            </w:r>
          </w:p>
        </w:tc>
      </w:tr>
      <w:tr>
        <w:tc>
          <w:tcPr/>
          <w:p>
            <w:pPr>
              <w:pStyle w:val="Compact"/>
              <w:jc w:val="left"/>
            </w:pPr>
            <m:oMath>
              <m:r>
                <m:t>r</m:t>
              </m:r>
            </m:oMath>
          </w:p>
        </w:tc>
        <w:tc>
          <w:tcPr/>
          <w:p>
            <w:pPr>
              <w:pStyle w:val="Compact"/>
              <w:jc w:val="left"/>
            </w:pPr>
            <w:r>
              <w:t xml:space="preserve">艏摇角速度</w:t>
            </w:r>
          </w:p>
        </w:tc>
        <w:tc>
          <w:tcPr/>
          <w:p>
            <w:pPr>
              <w:pStyle w:val="Compact"/>
              <w:jc w:val="left"/>
            </w:pPr>
            <w:r>
              <w:t xml:space="preserve">rad/s</w:t>
            </w:r>
          </w:p>
        </w:tc>
      </w:tr>
      <w:tr>
        <w:tc>
          <w:tcPr/>
          <w:p>
            <w:pPr>
              <w:pStyle w:val="Compact"/>
              <w:jc w:val="left"/>
            </w:pPr>
            <m:oMath>
              <m:r>
                <m:t>η</m:t>
              </m:r>
            </m:oMath>
          </w:p>
        </w:tc>
        <w:tc>
          <w:tcPr/>
          <w:p>
            <w:pPr>
              <w:pStyle w:val="Compact"/>
              <w:jc w:val="left"/>
            </w:pPr>
            <w:r>
              <w:t xml:space="preserve">位姿向量</w:t>
            </w:r>
          </w:p>
        </w:tc>
        <w:tc>
          <w:tcPr/>
          <w:p>
            <w:pPr>
              <w:pStyle w:val="Compact"/>
              <w:jc w:val="left"/>
            </w:pPr>
            <m:oMath>
              <m:d>
                <m:dPr>
                  <m:begChr m:val="("/>
                  <m:endChr m:val=")"/>
                  <m:sepChr m:val=""/>
                  <m:grow/>
                </m:dPr>
                <m:e>
                  <m:r>
                    <m:rPr>
                      <m:sty m:val="p"/>
                    </m:rPr>
                    <m:t>m,m,rad</m:t>
                  </m:r>
                </m:e>
              </m:d>
            </m:oMath>
          </w:p>
        </w:tc>
      </w:tr>
      <w:tr>
        <w:tc>
          <w:tcPr/>
          <w:p>
            <w:pPr>
              <w:pStyle w:val="Compact"/>
              <w:jc w:val="left"/>
            </w:pPr>
            <m:oMath>
              <m:r>
                <m:t>ν</m:t>
              </m:r>
            </m:oMath>
          </w:p>
        </w:tc>
        <w:tc>
          <w:tcPr/>
          <w:p>
            <w:pPr>
              <w:pStyle w:val="Compact"/>
              <w:jc w:val="left"/>
            </w:pPr>
            <w:r>
              <w:t xml:space="preserve">速度向量</w:t>
            </w:r>
          </w:p>
        </w:tc>
        <w:tc>
          <w:tcPr/>
          <w:p>
            <w:pPr>
              <w:pStyle w:val="Compact"/>
              <w:jc w:val="left"/>
            </w:pPr>
            <m:oMath>
              <m:d>
                <m:dPr>
                  <m:begChr m:val="("/>
                  <m:endChr m:val=")"/>
                  <m:sepChr m:val=""/>
                  <m:grow/>
                </m:dPr>
                <m:e>
                  <m:r>
                    <m:rPr>
                      <m:sty m:val="p"/>
                    </m:rPr>
                    <m:t>m/s,m/s,rad/s</m:t>
                  </m:r>
                </m:e>
              </m:d>
            </m:oMath>
          </w:p>
        </w:tc>
      </w:tr>
      <w:tr>
        <w:tc>
          <w:tcPr/>
          <w:p>
            <w:pPr>
              <w:pStyle w:val="Compact"/>
              <w:jc w:val="left"/>
            </w:pPr>
            <m:oMath>
              <m:r>
                <m:t>τ</m:t>
              </m:r>
            </m:oMath>
          </w:p>
        </w:tc>
        <w:tc>
          <w:tcPr/>
          <w:p>
            <w:pPr>
              <w:pStyle w:val="Compact"/>
              <w:jc w:val="left"/>
            </w:pPr>
            <w:r>
              <w:t xml:space="preserve">控制输入向量</w:t>
            </w:r>
          </w:p>
        </w:tc>
        <w:tc>
          <w:tcPr/>
          <w:p>
            <w:pPr>
              <w:pStyle w:val="Compact"/>
              <w:jc w:val="left"/>
            </w:pPr>
            <m:oMath>
              <m:d>
                <m:dPr>
                  <m:begChr m:val="("/>
                  <m:endChr m:val=")"/>
                  <m:sepChr m:val=""/>
                  <m:grow/>
                </m:dPr>
                <m:e>
                  <m:r>
                    <m:rPr>
                      <m:sty m:val="p"/>
                    </m:rPr>
                    <m:t>N,N⋅m</m:t>
                  </m:r>
                </m:e>
              </m:d>
            </m:oMath>
          </w:p>
        </w:tc>
      </w:tr>
      <w:tr>
        <w:tc>
          <w:tcPr/>
          <w:p>
            <w:pPr>
              <w:pStyle w:val="Compact"/>
              <w:jc w:val="left"/>
            </w:pPr>
            <m:oMath>
              <m:sSub>
                <m:e>
                  <m:r>
                    <m:t>τ</m:t>
                  </m:r>
                </m:e>
                <m:sub>
                  <m:r>
                    <m:t>d</m:t>
                  </m:r>
                </m:sub>
              </m:sSub>
            </m:oMath>
          </w:p>
        </w:tc>
        <w:tc>
          <w:tcPr/>
          <w:p>
            <w:pPr>
              <w:pStyle w:val="Compact"/>
              <w:jc w:val="left"/>
            </w:pPr>
            <w:r>
              <w:t xml:space="preserve">环境扰动向量</w:t>
            </w:r>
          </w:p>
        </w:tc>
        <w:tc>
          <w:tcPr/>
          <w:p>
            <w:pPr>
              <w:pStyle w:val="Compact"/>
              <w:jc w:val="left"/>
            </w:pPr>
            <m:oMath>
              <m:d>
                <m:dPr>
                  <m:begChr m:val="("/>
                  <m:endChr m:val=")"/>
                  <m:sepChr m:val=""/>
                  <m:grow/>
                </m:dPr>
                <m:e>
                  <m:r>
                    <m:rPr>
                      <m:sty m:val="p"/>
                    </m:rPr>
                    <m:t>N,N⋅m</m:t>
                  </m:r>
                </m:e>
              </m:d>
            </m:oMath>
          </w:p>
        </w:tc>
      </w:tr>
    </w:tbl>
    <w:p>
      <w:pPr>
        <w:pStyle w:val="BodyText"/>
      </w:pPr>
      <w:r>
        <w:t xml:space="preserve">需要说明的是，</w:t>
      </w:r>
      <m:oMath>
        <m:r>
          <m:t>η</m:t>
        </m:r>
      </m:oMath>
      <w:r>
        <w:t xml:space="preserve">、</w:t>
      </w:r>
      <m:oMath>
        <m:r>
          <m:t>ν</m:t>
        </m:r>
      </m:oMath>
      <w:r>
        <w:t xml:space="preserve">、</w:t>
      </w:r>
      <m:oMath>
        <m:r>
          <m:t>τ</m:t>
        </m:r>
      </m:oMath>
      <w:r>
        <w:t xml:space="preserve"> 和 </w:t>
      </w:r>
      <m:oMath>
        <m:sSub>
          <m:e>
            <m:r>
              <m:t>τ</m:t>
            </m:r>
          </m:e>
          <m:sub>
            <m:r>
              <m:t>d</m:t>
            </m:r>
          </m:sub>
        </m:sSub>
      </m:oMath>
      <w:r>
        <w:t xml:space="preserve"> 均为复合向量，本身并不存在单一统一单位，其单位应由各分量的物理量纲共同表示。例如，位姿向量 </w:t>
      </w:r>
      <m:oMath>
        <m:r>
          <m:t>η</m:t>
        </m:r>
        <m:r>
          <m:rPr>
            <m:sty m:val="p"/>
          </m:rPr>
          <m:t>=</m:t>
        </m:r>
        <m:sSup>
          <m:e>
            <m:d>
              <m:dPr>
                <m:begChr m:val="["/>
                <m:endChr m:val="]"/>
                <m:sepChr m:val=""/>
                <m:grow/>
              </m:dPr>
              <m:e>
                <m:r>
                  <m:t>x</m:t>
                </m:r>
                <m:r>
                  <m:rPr>
                    <m:sty m:val="p"/>
                  </m:rPr>
                  <m:t>,</m:t>
                </m:r>
                <m:r>
                  <m:t>y</m:t>
                </m:r>
                <m:r>
                  <m:rPr>
                    <m:sty m:val="p"/>
                  </m:rPr>
                  <m:t>,</m:t>
                </m:r>
                <m:r>
                  <m:t>ψ</m:t>
                </m:r>
              </m:e>
            </m:d>
          </m:e>
          <m:sup>
            <m:r>
              <m:t>T</m:t>
            </m:r>
          </m:sup>
        </m:sSup>
      </m:oMath>
      <w:r>
        <w:t xml:space="preserve"> 的三个分量单位依次为 </w:t>
      </w:r>
      <m:oMath>
        <m:r>
          <m:rPr>
            <m:sty m:val="p"/>
          </m:rPr>
          <m:t>m</m:t>
        </m:r>
      </m:oMath>
      <w:r>
        <w:t xml:space="preserve">、</w:t>
      </w:r>
      <m:oMath>
        <m:r>
          <m:rPr>
            <m:sty m:val="p"/>
          </m:rPr>
          <m:t>m</m:t>
        </m:r>
      </m:oMath>
      <w:r>
        <w:t xml:space="preserve"> 和 </w:t>
      </w:r>
      <m:oMath>
        <m:r>
          <m:rPr>
            <m:sty m:val="p"/>
          </m:rPr>
          <m:t>rad</m:t>
        </m:r>
      </m:oMath>
      <w:r>
        <w:t xml:space="preserve">，速度向量 </w:t>
      </w:r>
      <m:oMath>
        <m:r>
          <m:t>ν</m:t>
        </m:r>
        <m:r>
          <m:rPr>
            <m:sty m:val="p"/>
          </m:rPr>
          <m:t>=</m:t>
        </m:r>
        <m:sSup>
          <m:e>
            <m:d>
              <m:dPr>
                <m:begChr m:val="["/>
                <m:endChr m:val="]"/>
                <m:sepChr m:val=""/>
                <m:grow/>
              </m:dPr>
              <m:e>
                <m:r>
                  <m:t>u</m:t>
                </m:r>
                <m:r>
                  <m:rPr>
                    <m:sty m:val="p"/>
                  </m:rPr>
                  <m:t>,</m:t>
                </m:r>
                <m:r>
                  <m:t>v</m:t>
                </m:r>
                <m:r>
                  <m:rPr>
                    <m:sty m:val="p"/>
                  </m:rPr>
                  <m:t>,</m:t>
                </m:r>
                <m:r>
                  <m:t>r</m:t>
                </m:r>
              </m:e>
            </m:d>
          </m:e>
          <m:sup>
            <m:r>
              <m:t>T</m:t>
            </m:r>
          </m:sup>
        </m:sSup>
      </m:oMath>
      <w:r>
        <w:t xml:space="preserve"> 的三个分量单位依次为 </w:t>
      </w:r>
      <m:oMath>
        <m:r>
          <m:rPr>
            <m:sty m:val="p"/>
          </m:rPr>
          <m:t>m/s</m:t>
        </m:r>
      </m:oMath>
      <w:r>
        <w:t xml:space="preserve">、</w:t>
      </w:r>
      <m:oMath>
        <m:r>
          <m:rPr>
            <m:sty m:val="p"/>
          </m:rPr>
          <m:t>m/s</m:t>
        </m:r>
      </m:oMath>
      <w:r>
        <w:t xml:space="preserve"> 和 </w:t>
      </w:r>
      <m:oMath>
        <m:r>
          <m:rPr>
            <m:sty m:val="p"/>
          </m:rPr>
          <m:t>rad/s</m:t>
        </m:r>
      </m:oMath>
      <w:r>
        <w:t xml:space="preserve">。</w:t>
      </w:r>
    </w:p>
    <w:bookmarkEnd w:id="20"/>
    <w:bookmarkStart w:id="21" w:name="坐标变换关系"/>
    <w:p>
      <w:pPr>
        <w:pStyle w:val="Heading3"/>
      </w:pPr>
      <w:r>
        <w:t xml:space="preserve">2.1.2 坐标变换关系</w:t>
      </w:r>
    </w:p>
    <w:p>
      <w:pPr>
        <w:pStyle w:val="FirstParagraph"/>
      </w:pPr>
      <w:r>
        <w:t xml:space="preserve">由于位置变量定义在地固坐标系中，而速度变量定义在体固坐标系中，因此必须建立两者之间的坐标变换关系。在平面运动条件下，体固坐标系到地固坐标系的旋转变换矩阵可表示为：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J</m:t>
                </m:r>
                <m:d>
                  <m:dPr>
                    <m:begChr m:val="("/>
                    <m:endChr m:val=")"/>
                    <m:sepChr m:val=""/>
                    <m:grow/>
                  </m:dPr>
                  <m:e>
                    <m:r>
                      <m:t>ψ</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cos</m:t>
                          </m:r>
                          <m:r>
                            <m:t>ψ</m:t>
                          </m:r>
                        </m:e>
                        <m:e>
                          <m:r>
                            <m:rPr>
                              <m:sty m:val="p"/>
                            </m:rPr>
                            <m:t>−sin</m:t>
                          </m:r>
                          <m:r>
                            <m:t>ψ</m:t>
                          </m:r>
                        </m:e>
                        <m:e>
                          <m:r>
                            <m:t>0</m:t>
                          </m:r>
                        </m:e>
                      </m:mr>
                      <m:mr>
                        <m:e>
                          <m:r>
                            <m:rPr>
                              <m:sty m:val="p"/>
                            </m:rPr>
                            <m:t>sin</m:t>
                          </m:r>
                          <m:r>
                            <m:t>ψ</m:t>
                          </m:r>
                        </m:e>
                        <m:e>
                          <m:r>
                            <m:rPr>
                              <m:sty m:val="p"/>
                            </m:rPr>
                            <m:t>cos</m:t>
                          </m:r>
                          <m:r>
                            <m:t>ψ</m:t>
                          </m:r>
                        </m:e>
                        <m:e>
                          <m:r>
                            <m:t>0</m:t>
                          </m:r>
                        </m:e>
                      </m:mr>
                      <m:mr>
                        <m:e>
                          <m:r>
                            <m:t>0</m:t>
                          </m:r>
                        </m:e>
                        <m:e>
                          <m:r>
                            <m:t>0</m:t>
                          </m:r>
                        </m:e>
                        <m:e>
                          <m:r>
                            <m:t>1</m:t>
                          </m:r>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(2.3)</w:t>
            </w:r>
          </w:p>
        </w:tc>
      </w:tr>
    </w:tbl>
    <w:p>
      <w:pPr>
        <w:pStyle w:val="FirstParagraph"/>
      </w:pPr>
      <w:r>
        <w:t xml:space="preserve">式（2.3）中的 </w:t>
      </w:r>
      <m:oMath>
        <m:r>
          <m:t>J</m:t>
        </m:r>
        <m:d>
          <m:dPr>
            <m:begChr m:val="("/>
            <m:endChr m:val=")"/>
            <m:sepChr m:val=""/>
            <m:grow/>
          </m:dPr>
          <m:e>
            <m:r>
              <m:t>ψ</m:t>
            </m:r>
          </m:e>
        </m:d>
      </m:oMath>
      <w:r>
        <w:t xml:space="preserve"> 为正交矩阵，其前两行描述速度分量在不同坐标系下的投影关系，第三行反映艏向角变化率与艏摇角速度之间的一致性。由于 </w:t>
      </w:r>
      <m:oMath>
        <m:r>
          <m:t>J</m:t>
        </m:r>
        <m:d>
          <m:dPr>
            <m:begChr m:val="("/>
            <m:endChr m:val=")"/>
            <m:sepChr m:val=""/>
            <m:grow/>
          </m:dPr>
          <m:e>
            <m:r>
              <m:t>ψ</m:t>
            </m:r>
          </m:e>
        </m:d>
      </m:oMath>
      <w:r>
        <w:t xml:space="preserve"> 满足 </w:t>
      </w:r>
      <m:oMath>
        <m:sSup>
          <m:e>
            <m:r>
              <m:t>J</m:t>
            </m:r>
          </m:e>
          <m:sup>
            <m:r>
              <m:rPr>
                <m:sty m:val="p"/>
              </m:rPr>
              <m:t>−</m:t>
            </m:r>
            <m:r>
              <m:t>1</m:t>
            </m:r>
          </m:sup>
        </m:sSup>
        <m:d>
          <m:dPr>
            <m:begChr m:val="("/>
            <m:endChr m:val=")"/>
            <m:sepChr m:val=""/>
            <m:grow/>
          </m:dPr>
          <m:e>
            <m:r>
              <m:t>ψ</m:t>
            </m:r>
          </m:e>
        </m:d>
        <m:r>
          <m:rPr>
            <m:sty m:val="p"/>
          </m:rPr>
          <m:t>=</m:t>
        </m:r>
        <m:sSup>
          <m:e>
            <m:r>
              <m:t>J</m:t>
            </m:r>
          </m:e>
          <m:sup>
            <m:r>
              <m:t>T</m:t>
            </m:r>
          </m:sup>
        </m:sSup>
        <m:d>
          <m:dPr>
            <m:begChr m:val="("/>
            <m:endChr m:val=")"/>
            <m:sepChr m:val=""/>
            <m:grow/>
          </m:dPr>
          <m:e>
            <m:r>
              <m:t>ψ</m:t>
            </m:r>
          </m:e>
        </m:d>
      </m:oMath>
      <w:r>
        <w:t xml:space="preserve">，因此在进行误差坐标变换和控制律推导时，可以方便地在地固坐标系与体固坐标系之间切换。</w:t>
      </w:r>
    </w:p>
    <w:p>
      <w:pPr>
        <w:pStyle w:val="BodyText"/>
      </w:pPr>
      <w:r>
        <w:t xml:space="preserve">在三自由度建模过程中，本文还作如下合理假设：USV为刚体且左右结构近似对称；研究工况以中低速航行为主，不考虑剧烈纵倾、横摇和升沉运动对平面控制性能的影响；推进系统主要提供纵向推力和艏摇力矩，而横向不存在独立推进器。上述假设与欠驱动USV的常见工程配置基本一致，能够满足本文轨迹跟踪控制研究的需要。</w:t>
      </w:r>
    </w:p>
    <w:bookmarkEnd w:id="21"/>
    <w:bookmarkEnd w:id="22"/>
    <w:bookmarkStart w:id="25" w:name="usv运动学模型"/>
    <w:p>
      <w:pPr>
        <w:pStyle w:val="Heading2"/>
      </w:pPr>
      <w:r>
        <w:t xml:space="preserve">2.2 USV运动学模型</w:t>
      </w:r>
    </w:p>
    <w:bookmarkStart w:id="23" w:name="三自由度运动学方程"/>
    <w:p>
      <w:pPr>
        <w:pStyle w:val="Heading3"/>
      </w:pPr>
      <w:r>
        <w:t xml:space="preserve">2.2.1 三自由度运动学方程</w:t>
      </w:r>
    </w:p>
    <w:p>
      <w:pPr>
        <w:pStyle w:val="FirstParagraph"/>
      </w:pPr>
      <w:r>
        <w:t xml:space="preserve">USV运动学模型用于描述位姿变化率与体固坐标系速度之间的关系。根据式（2.3）的坐标变换关系，可以得到三自由度平面运动学方程为：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acc>
                  <m:accPr>
                    <m:chr m:val="̇"/>
                  </m:accPr>
                  <m:e>
                    <m:r>
                      <m:t>η</m:t>
                    </m:r>
                  </m:e>
                </m:acc>
                <m:r>
                  <m:rPr>
                    <m:sty m:val="p"/>
                  </m:rPr>
                  <m:t>=</m:t>
                </m:r>
                <m:r>
                  <m:t>J</m:t>
                </m:r>
                <m:d>
                  <m:dPr>
                    <m:begChr m:val="("/>
                    <m:endChr m:val=")"/>
                    <m:sepChr m:val=""/>
                    <m:grow/>
                  </m:dPr>
                  <m:e>
                    <m:r>
                      <m:t>ψ</m:t>
                    </m:r>
                  </m:e>
                </m:d>
                <m:r>
                  <m:t>ν</m:t>
                </m:r>
              </m:oMath>
            </m:oMathPara>
          </w:p>
        </w:tc>
        <w:tc>
          <w:tcPr>
            <w:tcW w:w="1500" w:type="dxa"/>
            <w:tcBorders>
              <w:top w:val="none" w:sz="0" w:space="0" w:color="auto"/>
              <w:left w:val="none" w:sz="0" w:space="0" w:color="auto"/>
              <w:bottom w:val="none" w:sz="0" w:space="0" w:color="auto"/>
              <w:right w:val="none" w:sz="0" w:space="0" w:color="auto"/>
            </w:tcBorders>
          </w:tcPr>
          <w:p>
            <w:pPr>
              <w:jc w:val="right"/>
            </w:pPr>
            <w:r>
              <w:t>(2.4)</w:t>
            </w:r>
          </w:p>
        </w:tc>
      </w:tr>
    </w:tbl>
    <w:p>
      <w:pPr>
        <w:pStyle w:val="FirstParagraph"/>
      </w:pPr>
      <w:r>
        <w:t xml:space="preserve">将式（2.4）展开，可得：</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d>
                  <m:dPr>
                    <m:begChr m:val="["/>
                    <m:endChr m:val="]"/>
                    <m:sepChr m:val=""/>
                    <m:grow/>
                  </m:dPr>
                  <m:e>
                    <m:m>
                      <m:mPr>
                        <m:baseJc m:val="center"/>
                        <m:plcHide m:val="on"/>
                        <m:mcs>
                          <m:mc>
                            <m:mcPr>
                              <m:mcJc m:val="center"/>
                              <m:count m:val="1"/>
                            </m:mcPr>
                          </m:mc>
                        </m:mcs>
                      </m:mPr>
                      <m:mr>
                        <m:e>
                          <m:acc>
                            <m:accPr>
                              <m:chr m:val="̇"/>
                            </m:accPr>
                            <m:e>
                              <m:r>
                                <m:t>x</m:t>
                              </m:r>
                            </m:e>
                          </m:acc>
                        </m:e>
                      </m:mr>
                      <m:mr>
                        <m:e>
                          <m:acc>
                            <m:accPr>
                              <m:chr m:val="̇"/>
                            </m:accPr>
                            <m:e>
                              <m:r>
                                <m:t>y</m:t>
                              </m:r>
                            </m:e>
                          </m:acc>
                        </m:e>
                      </m:mr>
                      <m:mr>
                        <m:e>
                          <m:acc>
                            <m:accPr>
                              <m:chr m:val="̇"/>
                            </m:accPr>
                            <m:e>
                              <m:r>
                                <m:t>ψ</m:t>
                              </m:r>
                            </m:e>
                          </m:acc>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cos</m:t>
                          </m:r>
                          <m:r>
                            <m:t>ψ</m:t>
                          </m:r>
                        </m:e>
                        <m:e>
                          <m:r>
                            <m:rPr>
                              <m:sty m:val="p"/>
                            </m:rPr>
                            <m:t>−sin</m:t>
                          </m:r>
                          <m:r>
                            <m:t>ψ</m:t>
                          </m:r>
                        </m:e>
                        <m:e>
                          <m:r>
                            <m:t>0</m:t>
                          </m:r>
                        </m:e>
                      </m:mr>
                      <m:mr>
                        <m:e>
                          <m:r>
                            <m:rPr>
                              <m:sty m:val="p"/>
                            </m:rPr>
                            <m:t>sin</m:t>
                          </m:r>
                          <m:r>
                            <m:t>ψ</m:t>
                          </m:r>
                        </m:e>
                        <m:e>
                          <m:r>
                            <m:rPr>
                              <m:sty m:val="p"/>
                            </m:rPr>
                            <m:t>cos</m:t>
                          </m:r>
                          <m:r>
                            <m:t>ψ</m:t>
                          </m:r>
                        </m:e>
                        <m:e>
                          <m:r>
                            <m:t>0</m:t>
                          </m:r>
                        </m:e>
                      </m:mr>
                      <m:mr>
                        <m:e>
                          <m:r>
                            <m:t>0</m:t>
                          </m:r>
                        </m:e>
                        <m:e>
                          <m:r>
                            <m:t>0</m:t>
                          </m:r>
                        </m:e>
                        <m:e>
                          <m:r>
                            <m:t>1</m:t>
                          </m:r>
                        </m:e>
                      </m:mr>
                    </m:m>
                  </m:e>
                </m:d>
                <m:d>
                  <m:dPr>
                    <m:begChr m:val="["/>
                    <m:endChr m:val="]"/>
                    <m:sepChr m:val=""/>
                    <m:grow/>
                  </m:dPr>
                  <m:e>
                    <m:m>
                      <m:mPr>
                        <m:baseJc m:val="center"/>
                        <m:plcHide m:val="on"/>
                        <m:mcs>
                          <m:mc>
                            <m:mcPr>
                              <m:mcJc m:val="center"/>
                              <m:count m:val="1"/>
                            </m:mcPr>
                          </m:mc>
                        </m:mcs>
                      </m:mPr>
                      <m:mr>
                        <m:e>
                          <m:r>
                            <m:t>u</m:t>
                          </m:r>
                        </m:e>
                      </m:mr>
                      <m:mr>
                        <m:e>
                          <m:r>
                            <m:t>v</m:t>
                          </m:r>
                        </m:e>
                      </m:mr>
                      <m:mr>
                        <m:e>
                          <m:r>
                            <m:t>r</m:t>
                          </m:r>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(2.5)</w:t>
            </w:r>
          </w:p>
        </w:tc>
      </w:tr>
    </w:tbl>
    <w:p>
      <w:pPr>
        <w:pStyle w:val="FirstParagraph"/>
      </w:pPr>
      <w:r>
        <w:t xml:space="preserve">由式（2.5）可以进一步写出其分量形式：</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d>
                  <m:dPr>
                    <m:begChr m:val="{"/>
                    <m:endChr m:val=""/>
                    <m:sepChr m:val=""/>
                    <m:grow/>
                  </m:dPr>
                  <m:e>
                    <m:m>
                      <m:mPr>
                        <m:baseJc m:val="center"/>
                        <m:plcHide m:val="on"/>
                        <m:mcs>
                          <m:mc>
                            <m:mcPr>
                              <m:mcJc m:val="right"/>
                              <m:count m:val="1"/>
                            </m:mcPr>
                          </m:mc>
                          <m:mc>
                            <m:mcPr>
                              <m:mcJc m:val="left"/>
                              <m:count m:val="1"/>
                            </m:mcPr>
                          </m:mc>
                        </m:mcs>
                      </m:mPr>
                      <m:mr>
                        <m:e>
                          <m:acc>
                            <m:accPr>
                              <m:chr m:val="̇"/>
                            </m:accPr>
                            <m:e>
                              <m:r>
                                <m:t>x</m:t>
                              </m:r>
                            </m:e>
                          </m:acc>
                        </m:e>
                        <m:e>
                          <m:r>
                            <m:rPr>
                              <m:sty m:val="p"/>
                            </m:rPr>
                            <m:t>=</m:t>
                          </m:r>
                          <m:r>
                            <m:t>u</m:t>
                          </m:r>
                          <m:r>
                            <m:rPr>
                              <m:sty m:val="p"/>
                            </m:rPr>
                            <m:t>cos</m:t>
                          </m:r>
                          <m:r>
                            <m:t>ψ</m:t>
                          </m:r>
                          <m:r>
                            <m:rPr>
                              <m:sty m:val="p"/>
                            </m:rPr>
                            <m:t>−</m:t>
                          </m:r>
                          <m:r>
                            <m:t>v</m:t>
                          </m:r>
                          <m:r>
                            <m:rPr>
                              <m:sty m:val="p"/>
                            </m:rPr>
                            <m:t>sin</m:t>
                          </m:r>
                          <m:r>
                            <m:t>ψ</m:t>
                          </m:r>
                        </m:e>
                      </m:mr>
                      <m:mr>
                        <m:e>
                          <m:acc>
                            <m:accPr>
                              <m:chr m:val="̇"/>
                            </m:accPr>
                            <m:e>
                              <m:r>
                                <m:t>y</m:t>
                              </m:r>
                            </m:e>
                          </m:acc>
                        </m:e>
                        <m:e>
                          <m:r>
                            <m:rPr>
                              <m:sty m:val="p"/>
                            </m:rPr>
                            <m:t>=</m:t>
                          </m:r>
                          <m:r>
                            <m:t>u</m:t>
                          </m:r>
                          <m:r>
                            <m:rPr>
                              <m:sty m:val="p"/>
                            </m:rPr>
                            <m:t>sin</m:t>
                          </m:r>
                          <m:r>
                            <m:t>ψ</m:t>
                          </m:r>
                          <m:r>
                            <m:rPr>
                              <m:sty m:val="p"/>
                            </m:rPr>
                            <m:t>+</m:t>
                          </m:r>
                          <m:r>
                            <m:t>v</m:t>
                          </m:r>
                          <m:r>
                            <m:rPr>
                              <m:sty m:val="p"/>
                            </m:rPr>
                            <m:t>cos</m:t>
                          </m:r>
                          <m:r>
                            <m:t>ψ</m:t>
                          </m:r>
                        </m:e>
                      </m:mr>
                      <m:mr>
                        <m:e>
                          <m:acc>
                            <m:accPr>
                              <m:chr m:val="̇"/>
                            </m:accPr>
                            <m:e>
                              <m:r>
                                <m:t>ψ</m:t>
                              </m:r>
                            </m:e>
                          </m:acc>
                        </m:e>
                        <m:e>
                          <m:r>
                            <m:rPr>
                              <m:sty m:val="p"/>
                            </m:rPr>
                            <m:t>=</m:t>
                          </m:r>
                          <m:r>
                            <m:t>r</m:t>
                          </m:r>
                        </m:e>
                      </m:mr>
                    </m:m>
                  </m:e>
                </m:d>
              </m:oMath>
            </m:oMathPara>
          </w:p>
        </w:tc>
        <w:tc>
          <w:tcPr>
            <w:tcW w:w="1500" w:type="dxa"/>
            <w:tcBorders>
              <w:top w:val="none" w:sz="0" w:space="0" w:color="auto"/>
              <w:left w:val="none" w:sz="0" w:space="0" w:color="auto"/>
              <w:bottom w:val="none" w:sz="0" w:space="0" w:color="auto"/>
              <w:right w:val="none" w:sz="0" w:space="0" w:color="auto"/>
            </w:tcBorders>
          </w:tcPr>
          <w:p/>
        </w:tc>
      </w:tr>
    </w:tbl>
    <w:p>
      <w:pPr>
        <w:pStyle w:val="FirstParagraph"/>
      </w:pPr>
      <w:r>
        <w:t xml:space="preserve">其中，</w:t>
      </w:r>
      <m:oMath>
        <m:acc>
          <m:accPr>
            <m:chr m:val="̇"/>
          </m:accPr>
          <m:e>
            <m:r>
              <m:t>x</m:t>
            </m:r>
          </m:e>
        </m:acc>
      </m:oMath>
      <w:r>
        <w:t xml:space="preserve"> 和 </w:t>
      </w:r>
      <m:oMath>
        <m:acc>
          <m:accPr>
            <m:chr m:val="̇"/>
          </m:accPr>
          <m:e>
            <m:r>
              <m:t>y</m:t>
            </m:r>
          </m:e>
        </m:acc>
      </m:oMath>
      <w:r>
        <w:t xml:space="preserve"> 分别表示USV在地固坐标系中沿 </w:t>
      </w:r>
      <m:oMath>
        <m:r>
          <m:t>X</m:t>
        </m:r>
      </m:oMath>
      <w:r>
        <w:t xml:space="preserve"> 轴和 </w:t>
      </w:r>
      <m:oMath>
        <m:r>
          <m:t>Y</m:t>
        </m:r>
      </m:oMath>
      <w:r>
        <w:t xml:space="preserve"> 轴方向的位置变化率，</w:t>
      </w:r>
      <m:oMath>
        <m:acc>
          <m:accPr>
            <m:chr m:val="̇"/>
          </m:accPr>
          <m:e>
            <m:r>
              <m:t>ψ</m:t>
            </m:r>
          </m:e>
        </m:acc>
      </m:oMath>
      <w:r>
        <w:t xml:space="preserve"> 表示艏向角变化率。由该式可以看出，USV的位置更新不仅取决于船体纵向速度 </w:t>
      </w:r>
      <m:oMath>
        <m:r>
          <m:t>u</m:t>
        </m:r>
      </m:oMath>
      <w:r>
        <w:t xml:space="preserve">，还与横向速度 </w:t>
      </w:r>
      <m:oMath>
        <m:r>
          <m:t>v</m:t>
        </m:r>
      </m:oMath>
      <w:r>
        <w:t xml:space="preserve"> 及当前艏向角 </w:t>
      </w:r>
      <m:oMath>
        <m:r>
          <m:t>ψ</m:t>
        </m:r>
      </m:oMath>
      <w:r>
        <w:t xml:space="preserve"> 密切相关。</w:t>
      </w:r>
    </w:p>
    <w:p>
      <w:pPr>
        <w:pStyle w:val="BodyText"/>
      </w:pPr>
      <w:r>
        <w:t xml:space="preserve">运动学方程清楚地表明，USV在地固坐标系中的位置变化不仅与纵荡速度 </w:t>
      </w:r>
      <m:oMath>
        <m:r>
          <m:t>u</m:t>
        </m:r>
      </m:oMath>
      <w:r>
        <w:t xml:space="preserve"> 有关，还受到横荡速度 </w:t>
      </w:r>
      <m:oMath>
        <m:r>
          <m:t>v</m:t>
        </m:r>
      </m:oMath>
      <w:r>
        <w:t xml:space="preserve"> 和艏向角 </w:t>
      </w:r>
      <m:oMath>
        <m:r>
          <m:t>ψ</m:t>
        </m:r>
      </m:oMath>
      <w:r>
        <w:t xml:space="preserve"> 的共同影响。当USV发生转向或侧滑时，位置更新过程具有明显的非线性耦合特征。尤其是对于欠驱动USV而言，横荡速度无法被执行器直接控制，但它又会通过式（2.5）影响轨迹跟踪误差的演化，因此在控制器设计中必须充分考虑这种间接耦合效应。</w:t>
      </w:r>
    </w:p>
    <w:p>
      <w:pPr>
        <w:pStyle w:val="BodyText"/>
      </w:pPr>
    </w:p>
    <w:p>
      <w:pPr>
        <w:pStyle w:val="BodyText"/>
      </w:pPr>
      <w:r>
        <w:t xml:space="preserve">图2-2 欠驱动USV平面运动示意图</w:t>
      </w:r>
    </w:p>
    <w:p>
      <w:pPr>
        <w:pStyle w:val="BodyText"/>
      </w:pPr>
      <w:r>
        <w:t xml:space="preserve">图2-2用于说明欠驱动USV在水平面内的基本运动形式及其控制输入配置关系。其中，</w:t>
      </w:r>
      <m:oMath>
        <m:r>
          <m:t>u</m:t>
        </m:r>
      </m:oMath>
      <w:r>
        <w:t xml:space="preserve"> 表示纵荡速度，体现船体沿首向方向的前进运动；</w:t>
      </w:r>
      <m:oMath>
        <m:r>
          <m:t>v</m:t>
        </m:r>
      </m:oMath>
      <w:r>
        <w:t xml:space="preserve"> 表示横荡速度，体现船体侧向漂移趋势；</w:t>
      </w:r>
      <m:oMath>
        <m:r>
          <m:t>r</m:t>
        </m:r>
      </m:oMath>
      <w:r>
        <w:t xml:space="preserve"> 表示艏摇角速度，反映船体绕垂直轴的转向运动；</w:t>
      </w:r>
      <m:oMath>
        <m:sSub>
          <m:e>
            <m:r>
              <m:t>τ</m:t>
            </m:r>
          </m:e>
          <m:sub>
            <m:r>
              <m:t>u</m:t>
            </m:r>
          </m:sub>
        </m:sSub>
      </m:oMath>
      <w:r>
        <w:t xml:space="preserve"> 表示推进系统提供的纵向推力，</w:t>
      </w:r>
      <m:oMath>
        <m:sSub>
          <m:e>
            <m:r>
              <m:t>τ</m:t>
            </m:r>
          </m:e>
          <m:sub>
            <m:r>
              <m:t>r</m:t>
            </m:r>
          </m:sub>
        </m:sSub>
      </m:oMath>
      <w:r>
        <w:t xml:space="preserve"> 表示用于控制转向的艏摇力矩。该图的核心含义在于说明：USV虽然具有三个平面运动自由度，但通常仅能直接施加纵向推力和转向力矩，因此横荡运动并不存在独立控制输入，这正是“欠驱动”特性的来源。</w:t>
      </w:r>
    </w:p>
    <w:bookmarkEnd w:id="23"/>
    <w:bookmarkStart w:id="24" w:name="轨迹跟踪误差模型"/>
    <w:p>
      <w:pPr>
        <w:pStyle w:val="Heading3"/>
      </w:pPr>
      <w:r>
        <w:t xml:space="preserve">2.2.2 轨迹跟踪误差模型</w:t>
      </w:r>
    </w:p>
    <w:p>
      <w:pPr>
        <w:pStyle w:val="FirstParagraph"/>
      </w:pPr>
      <w:r>
        <w:t xml:space="preserve">为了研究USV的轨迹跟踪控制问题，需要在运动学模型基础上定义参考轨迹及其误差变量。设期望轨迹在地固坐标系中的位姿向量为：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sSub>
                  <m:e>
                    <m:r>
                      <m:t>η</m:t>
                    </m:r>
                  </m:e>
                  <m:sub>
                    <m:r>
                      <m:t>d</m:t>
                    </m:r>
                  </m:sub>
                </m:sSub>
                <m:r>
                  <m:rPr>
                    <m:sty m:val="p"/>
                  </m:rPr>
                  <m:t>=</m:t>
                </m:r>
                <m:sSup>
                  <m:e>
                    <m:d>
                      <m:dPr>
                        <m:begChr m:val="["/>
                        <m:endChr m:val="]"/>
                        <m:sepChr m:val=""/>
                        <m:grow/>
                      </m:dPr>
                      <m:e>
                        <m:sSub>
                          <m:e>
                            <m:r>
                              <m:t>x</m:t>
                            </m:r>
                          </m:e>
                          <m:sub>
                            <m:r>
                              <m:t>d</m:t>
                            </m:r>
                          </m:sub>
                        </m:sSub>
                        <m:r>
                          <m:rPr>
                            <m:sty m:val="p"/>
                          </m:rPr>
                          <m:t>,</m:t>
                        </m:r>
                        <m:sSub>
                          <m:e>
                            <m:r>
                              <m:t>y</m:t>
                            </m:r>
                          </m:e>
                          <m:sub>
                            <m:r>
                              <m:t>d</m:t>
                            </m:r>
                          </m:sub>
                        </m:sSub>
                        <m:r>
                          <m:rPr>
                            <m:sty m:val="p"/>
                          </m:rPr>
                          <m:t>,</m:t>
                        </m:r>
                        <m:sSub>
                          <m:e>
                            <m:r>
                              <m:t>ψ</m:t>
                            </m:r>
                          </m:e>
                          <m:sub>
                            <m:r>
                              <m:t>d</m:t>
                            </m:r>
                          </m:sub>
                        </m:sSub>
                      </m:e>
                    </m:d>
                  </m:e>
                  <m:sup>
                    <m:r>
                      <m:t>T</m:t>
                    </m:r>
                  </m:sup>
                </m:sSup>
              </m:oMath>
            </m:oMathPara>
          </w:p>
        </w:tc>
        <w:tc>
          <w:tcPr>
            <w:tcW w:w="1500" w:type="dxa"/>
            <w:tcBorders>
              <w:top w:val="none" w:sz="0" w:space="0" w:color="auto"/>
              <w:left w:val="none" w:sz="0" w:space="0" w:color="auto"/>
              <w:bottom w:val="none" w:sz="0" w:space="0" w:color="auto"/>
              <w:right w:val="none" w:sz="0" w:space="0" w:color="auto"/>
            </w:tcBorders>
          </w:tcPr>
          <w:p>
            <w:pPr>
              <w:jc w:val="right"/>
            </w:pPr>
            <w:r>
              <w:t>(2.6)</w:t>
            </w:r>
          </w:p>
        </w:tc>
      </w:tr>
    </w:tbl>
    <w:p>
      <w:pPr>
        <w:pStyle w:val="FirstParagraph"/>
      </w:pPr>
      <w:r>
        <w:t xml:space="preserve">其中，</w:t>
      </w:r>
      <m:oMath>
        <m:sSub>
          <m:e>
            <m:r>
              <m:t>x</m:t>
            </m:r>
          </m:e>
          <m:sub>
            <m:r>
              <m:t>d</m:t>
            </m:r>
          </m:sub>
        </m:sSub>
      </m:oMath>
      <w:r>
        <w:t xml:space="preserve">、</w:t>
      </w:r>
      <m:oMath>
        <m:sSub>
          <m:e>
            <m:r>
              <m:t>y</m:t>
            </m:r>
          </m:e>
          <m:sub>
            <m:r>
              <m:t>d</m:t>
            </m:r>
          </m:sub>
        </m:sSub>
      </m:oMath>
      <w:r>
        <w:t xml:space="preserve"> 和 </w:t>
      </w:r>
      <m:oMath>
        <m:sSub>
          <m:e>
            <m:r>
              <m:t>ψ</m:t>
            </m:r>
          </m:e>
          <m:sub>
            <m:r>
              <m:t>d</m:t>
            </m:r>
          </m:sub>
        </m:sSub>
      </m:oMath>
      <w:r>
        <w:t xml:space="preserve"> 分别表示期望位置和期望艏向角。若直接在地固坐标系下定义误差，则误差动力学中会包含大量与 </w:t>
      </w:r>
      <m:oMath>
        <m:r>
          <m:t>ψ</m:t>
        </m:r>
      </m:oMath>
      <w:r>
        <w:t xml:space="preserve"> 相关的三角函数项，不利于后续控制律推导。因此，本文采用体固坐标系下的跟踪误差定义方式，将地固坐标系中的位置误差投影到USV当前姿态对应的体固坐标系中，可写为：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e</m:t>
                </m:r>
                <m:r>
                  <m:rPr>
                    <m:sty m:val="p"/>
                  </m:rPr>
                  <m:t>=</m:t>
                </m:r>
                <m:sSup>
                  <m:e>
                    <m:d>
                      <m:dPr>
                        <m:begChr m:val="["/>
                        <m:endChr m:val="]"/>
                        <m:sepChr m:val=""/>
                        <m:grow/>
                      </m:dPr>
                      <m:e>
                        <m:sSub>
                          <m:e>
                            <m:r>
                              <m:t>x</m:t>
                            </m:r>
                          </m:e>
                          <m:sub>
                            <m:r>
                              <m:t>e</m:t>
                            </m:r>
                          </m:sub>
                        </m:sSub>
                        <m:r>
                          <m:rPr>
                            <m:sty m:val="p"/>
                          </m:rPr>
                          <m:t>,</m:t>
                        </m:r>
                        <m:sSub>
                          <m:e>
                            <m:r>
                              <m:t>y</m:t>
                            </m:r>
                          </m:e>
                          <m:sub>
                            <m:r>
                              <m:t>e</m:t>
                            </m:r>
                          </m:sub>
                        </m:sSub>
                        <m:r>
                          <m:rPr>
                            <m:sty m:val="p"/>
                          </m:rPr>
                          <m:t>,</m:t>
                        </m:r>
                        <m:sSub>
                          <m:e>
                            <m:r>
                              <m:t>ψ</m:t>
                            </m:r>
                          </m:e>
                          <m:sub>
                            <m:r>
                              <m:t>e</m:t>
                            </m:r>
                          </m:sub>
                        </m:sSub>
                      </m:e>
                    </m:d>
                  </m:e>
                  <m:sup>
                    <m: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cos</m:t>
                          </m:r>
                          <m:r>
                            <m:t>ψ</m:t>
                          </m:r>
                        </m:e>
                        <m:e>
                          <m:r>
                            <m:rPr>
                              <m:sty m:val="p"/>
                            </m:rPr>
                            <m:t>sin</m:t>
                          </m:r>
                          <m:r>
                            <m:t>ψ</m:t>
                          </m:r>
                        </m:e>
                        <m:e>
                          <m:r>
                            <m:t>0</m:t>
                          </m:r>
                        </m:e>
                      </m:mr>
                      <m:mr>
                        <m:e>
                          <m:r>
                            <m:rPr>
                              <m:sty m:val="p"/>
                            </m:rPr>
                            <m:t>−sin</m:t>
                          </m:r>
                          <m:r>
                            <m:t>ψ</m:t>
                          </m:r>
                        </m:e>
                        <m:e>
                          <m:r>
                            <m:rPr>
                              <m:sty m:val="p"/>
                            </m:rPr>
                            <m:t>cos</m:t>
                          </m:r>
                          <m:r>
                            <m:t>ψ</m:t>
                          </m:r>
                        </m:e>
                        <m:e>
                          <m:r>
                            <m:t>0</m:t>
                          </m:r>
                        </m:e>
                      </m:mr>
                      <m:mr>
                        <m:e>
                          <m:r>
                            <m:t>0</m:t>
                          </m:r>
                        </m:e>
                        <m:e>
                          <m:r>
                            <m:t>0</m:t>
                          </m:r>
                        </m:e>
                        <m:e>
                          <m:r>
                            <m:t>1</m:t>
                          </m:r>
                        </m:e>
                      </m:mr>
                    </m:m>
                  </m:e>
                </m:d>
                <m:d>
                  <m:dPr>
                    <m:begChr m:val="("/>
                    <m:endChr m:val=")"/>
                    <m:sepChr m:val=""/>
                    <m:grow/>
                  </m:dPr>
                  <m:e>
                    <m:sSub>
                      <m:e>
                        <m:r>
                          <m:t>η</m:t>
                        </m:r>
                      </m:e>
                      <m:sub>
                        <m:r>
                          <m:t>d</m:t>
                        </m:r>
                      </m:sub>
                    </m:sSub>
                    <m:r>
                      <m:rPr>
                        <m:sty m:val="p"/>
                      </m:rPr>
                      <m:t>−</m:t>
                    </m:r>
                    <m:r>
                      <m:t>η</m:t>
                    </m:r>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(2.7)</w:t>
            </w:r>
          </w:p>
        </w:tc>
      </w:tr>
    </w:tbl>
    <w:p>
      <w:pPr>
        <w:pStyle w:val="FirstParagraph"/>
      </w:pPr>
      <w:r>
        <w:t xml:space="preserve">将式（2.7）展开可得：</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d>
                  <m:dPr>
                    <m:begChr m:val="{"/>
                    <m:endChr m:val=""/>
                    <m:sepChr m:val=""/>
                    <m:grow/>
                  </m:dPr>
                  <m:e>
                    <m:m>
                      <m:mPr>
                        <m:baseJc m:val="center"/>
                        <m:plcHide m:val="on"/>
                        <m:mcs>
                          <m:mc>
                            <m:mcPr>
                              <m:mcJc m:val="right"/>
                              <m:count m:val="1"/>
                            </m:mcPr>
                          </m:mc>
                          <m:mc>
                            <m:mcPr>
                              <m:mcJc m:val="left"/>
                              <m:count m:val="1"/>
                            </m:mcPr>
                          </m:mc>
                        </m:mcs>
                      </m:mPr>
                      <m:mr>
                        <m:e>
                          <m:sSub>
                            <m:e>
                              <m:r>
                                <m:t>x</m:t>
                              </m:r>
                            </m:e>
                            <m:sub>
                              <m:r>
                                <m:t>e</m:t>
                              </m:r>
                            </m:sub>
                          </m:sSub>
                        </m:e>
                        <m:e>
                          <m:r>
                            <m:rPr>
                              <m:sty m:val="p"/>
                            </m:rPr>
                            <m:t>=</m:t>
                          </m:r>
                          <m:d>
                            <m:dPr>
                              <m:begChr m:val="("/>
                              <m:endChr m:val=")"/>
                              <m:sepChr m:val=""/>
                              <m:grow/>
                            </m:dPr>
                            <m:e>
                              <m:sSub>
                                <m:e>
                                  <m:r>
                                    <m:t>x</m:t>
                                  </m:r>
                                </m:e>
                                <m:sub>
                                  <m:r>
                                    <m:t>d</m:t>
                                  </m:r>
                                </m:sub>
                              </m:sSub>
                              <m:r>
                                <m:rPr>
                                  <m:sty m:val="p"/>
                                </m:rPr>
                                <m:t>−</m:t>
                              </m:r>
                              <m:r>
                                <m:t>x</m:t>
                              </m:r>
                            </m:e>
                          </m:d>
                          <m:r>
                            <m:rPr>
                              <m:sty m:val="p"/>
                            </m:rPr>
                            <m:t>cos</m:t>
                          </m:r>
                          <m:r>
                            <m:t>ψ</m:t>
                          </m:r>
                          <m:r>
                            <m:rPr>
                              <m:sty m:val="p"/>
                            </m:rPr>
                            <m:t>+</m:t>
                          </m:r>
                          <m:d>
                            <m:dPr>
                              <m:begChr m:val="("/>
                              <m:endChr m:val=")"/>
                              <m:sepChr m:val=""/>
                              <m:grow/>
                            </m:dPr>
                            <m:e>
                              <m:sSub>
                                <m:e>
                                  <m:r>
                                    <m:t>y</m:t>
                                  </m:r>
                                </m:e>
                                <m:sub>
                                  <m:r>
                                    <m:t>d</m:t>
                                  </m:r>
                                </m:sub>
                              </m:sSub>
                              <m:r>
                                <m:rPr>
                                  <m:sty m:val="p"/>
                                </m:rPr>
                                <m:t>−</m:t>
                              </m:r>
                              <m:r>
                                <m:t>y</m:t>
                              </m:r>
                            </m:e>
                          </m:d>
                          <m:r>
                            <m:rPr>
                              <m:sty m:val="p"/>
                            </m:rPr>
                            <m:t>sin</m:t>
                          </m:r>
                          <m:r>
                            <m:t>ψ</m:t>
                          </m:r>
                        </m:e>
                      </m:mr>
                      <m:mr>
                        <m:e>
                          <m:sSub>
                            <m:e>
                              <m:r>
                                <m:t>y</m:t>
                              </m:r>
                            </m:e>
                            <m:sub>
                              <m:r>
                                <m:t>e</m:t>
                              </m:r>
                            </m:sub>
                          </m:sSub>
                        </m:e>
                        <m:e>
                          <m:r>
                            <m:rPr>
                              <m:sty m:val="p"/>
                            </m:rPr>
                            <m:t>=−</m:t>
                          </m:r>
                          <m:d>
                            <m:dPr>
                              <m:begChr m:val="("/>
                              <m:endChr m:val=")"/>
                              <m:sepChr m:val=""/>
                              <m:grow/>
                            </m:dPr>
                            <m:e>
                              <m:sSub>
                                <m:e>
                                  <m:r>
                                    <m:t>x</m:t>
                                  </m:r>
                                </m:e>
                                <m:sub>
                                  <m:r>
                                    <m:t>d</m:t>
                                  </m:r>
                                </m:sub>
                              </m:sSub>
                              <m:r>
                                <m:rPr>
                                  <m:sty m:val="p"/>
                                </m:rPr>
                                <m:t>−</m:t>
                              </m:r>
                              <m:r>
                                <m:t>x</m:t>
                              </m:r>
                            </m:e>
                          </m:d>
                          <m:r>
                            <m:rPr>
                              <m:sty m:val="p"/>
                            </m:rPr>
                            <m:t>sin</m:t>
                          </m:r>
                          <m:r>
                            <m:t>ψ</m:t>
                          </m:r>
                          <m:r>
                            <m:rPr>
                              <m:sty m:val="p"/>
                            </m:rPr>
                            <m:t>+</m:t>
                          </m:r>
                          <m:d>
                            <m:dPr>
                              <m:begChr m:val="("/>
                              <m:endChr m:val=")"/>
                              <m:sepChr m:val=""/>
                              <m:grow/>
                            </m:dPr>
                            <m:e>
                              <m:sSub>
                                <m:e>
                                  <m:r>
                                    <m:t>y</m:t>
                                  </m:r>
                                </m:e>
                                <m:sub>
                                  <m:r>
                                    <m:t>d</m:t>
                                  </m:r>
                                </m:sub>
                              </m:sSub>
                              <m:r>
                                <m:rPr>
                                  <m:sty m:val="p"/>
                                </m:rPr>
                                <m:t>−</m:t>
                              </m:r>
                              <m:r>
                                <m:t>y</m:t>
                              </m:r>
                            </m:e>
                          </m:d>
                          <m:r>
                            <m:rPr>
                              <m:sty m:val="p"/>
                            </m:rPr>
                            <m:t>cos</m:t>
                          </m:r>
                          <m:r>
                            <m:t>ψ</m:t>
                          </m:r>
                        </m:e>
                      </m:mr>
                      <m:mr>
                        <m:e>
                          <m:sSub>
                            <m:e>
                              <m:r>
                                <m:t>ψ</m:t>
                              </m:r>
                            </m:e>
                            <m:sub>
                              <m:r>
                                <m:t>e</m:t>
                              </m:r>
                            </m:sub>
                          </m:sSub>
                        </m:e>
                        <m:e>
                          <m:r>
                            <m:rPr>
                              <m:sty m:val="p"/>
                            </m:rPr>
                            <m:t>=</m:t>
                          </m:r>
                          <m:sSub>
                            <m:e>
                              <m:r>
                                <m:t>ψ</m:t>
                              </m:r>
                            </m:e>
                            <m:sub>
                              <m:r>
                                <m:t>d</m:t>
                              </m:r>
                            </m:sub>
                          </m:sSub>
                          <m:r>
                            <m:rPr>
                              <m:sty m:val="p"/>
                            </m:rPr>
                            <m:t>−</m:t>
                          </m:r>
                          <m:r>
                            <m:t>ψ</m:t>
                          </m:r>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(2.8)</w:t>
            </w:r>
          </w:p>
        </w:tc>
      </w:tr>
    </w:tbl>
    <w:p>
      <w:pPr>
        <w:pStyle w:val="FirstParagraph"/>
      </w:pPr>
      <w:r>
        <w:t xml:space="preserve">式（2.8）所定义的误差变量具有明确的几何意义，其中 </w:t>
      </w:r>
      <m:oMath>
        <m:sSub>
          <m:e>
            <m:r>
              <m:t>x</m:t>
            </m:r>
          </m:e>
          <m:sub>
            <m:r>
              <m:t>e</m:t>
            </m:r>
          </m:sub>
        </m:sSub>
      </m:oMath>
      <w:r>
        <w:t xml:space="preserve"> 表示期望点在USV首向方向上的投影误差，</w:t>
      </w:r>
      <m:oMath>
        <m:sSub>
          <m:e>
            <m:r>
              <m:t>y</m:t>
            </m:r>
          </m:e>
          <m:sub>
            <m:r>
              <m:t>e</m:t>
            </m:r>
          </m:sub>
        </m:sSub>
      </m:oMath>
      <w:r>
        <w:t xml:space="preserve"> 表示期望点在USV横向方向上的投影误差，</w:t>
      </w:r>
      <m:oMath>
        <m:sSub>
          <m:e>
            <m:r>
              <m:t>ψ</m:t>
            </m:r>
          </m:e>
          <m:sub>
            <m:r>
              <m:t>e</m:t>
            </m:r>
          </m:sub>
        </m:sSub>
      </m:oMath>
      <w:r>
        <w:t xml:space="preserve"> 表示艏向偏差。采用这种误差定义方式后，控制器可以更直接地根据船体当前运动方向调节推进力和转向力矩，从而提高轨迹跟踪律的构造效率。与此同时，这种误差表达方式也与反步法、动态面控制和Lyapunov函数设计过程具有较好的兼容性。在后续控制器设计中，纵向误差主要用于刻画航迹前向逼近程度，横向误差和艏向误差则共同决定USV的转向调节需求，因此三者之间并非相互独立，而是通过船体运动学关系紧密耦合。</w:t>
      </w:r>
    </w:p>
    <w:p>
      <w:pPr>
        <w:pStyle w:val="BodyText"/>
      </w:pPr>
    </w:p>
    <w:p>
      <w:pPr>
        <w:pStyle w:val="BodyText"/>
      </w:pPr>
      <w:r>
        <w:t xml:space="preserve">图2-3 USV轨迹跟踪误差几何关系示意图</w:t>
      </w:r>
    </w:p>
    <w:p>
      <w:pPr>
        <w:pStyle w:val="BodyText"/>
      </w:pPr>
      <w:r>
        <w:t xml:space="preserve">其中，</w:t>
      </w:r>
      <m:oMath>
        <m:r>
          <m:t>P</m:t>
        </m:r>
      </m:oMath>
      <w:r>
        <w:t xml:space="preserve"> 表示USV当前实际位置点，</w:t>
      </w:r>
      <m:oMath>
        <m:sSub>
          <m:e>
            <m:r>
              <m:t>P</m:t>
            </m:r>
          </m:e>
          <m:sub>
            <m:r>
              <m:t>d</m:t>
            </m:r>
          </m:sub>
        </m:sSub>
      </m:oMath>
      <w:r>
        <w:t xml:space="preserve"> 表示参考轨迹上的期望位置点；</w:t>
      </w:r>
      <m:oMath>
        <m:sSub>
          <m:e>
            <m:r>
              <m:t>x</m:t>
            </m:r>
          </m:e>
          <m:sub>
            <m:r>
              <m:t>b</m:t>
            </m:r>
          </m:sub>
        </m:sSub>
      </m:oMath>
      <w:r>
        <w:t xml:space="preserve"> 和 </w:t>
      </w:r>
      <m:oMath>
        <m:sSub>
          <m:e>
            <m:r>
              <m:t>y</m:t>
            </m:r>
          </m:e>
          <m:sub>
            <m:r>
              <m:t>b</m:t>
            </m:r>
          </m:sub>
        </m:sSub>
      </m:oMath>
      <w:r>
        <w:t xml:space="preserve"> 分别表示体固坐标系的纵向轴与横向轴；</w:t>
      </w:r>
      <m:oMath>
        <m:sSub>
          <m:e>
            <m:r>
              <m:t>x</m:t>
            </m:r>
          </m:e>
          <m:sub>
            <m:r>
              <m:t>e</m:t>
            </m:r>
          </m:sub>
        </m:sSub>
      </m:oMath>
      <w:r>
        <w:t xml:space="preserve"> 表示沿船体首向方向的纵向跟踪误差，</w:t>
      </w:r>
      <m:oMath>
        <m:sSub>
          <m:e>
            <m:r>
              <m:t>y</m:t>
            </m:r>
          </m:e>
          <m:sub>
            <m:r>
              <m:t>e</m:t>
            </m:r>
          </m:sub>
        </m:sSub>
      </m:oMath>
      <w:r>
        <w:t xml:space="preserve"> 表示垂直于船体首向方向的横向跟踪误差，</w:t>
      </w:r>
      <m:oMath>
        <m:sSub>
          <m:e>
            <m:r>
              <m:t>ψ</m:t>
            </m:r>
          </m:e>
          <m:sub>
            <m:r>
              <m:t>e</m:t>
            </m:r>
          </m:sub>
        </m:sSub>
      </m:oMath>
      <w:r>
        <w:t xml:space="preserve"> 表示期望航向与实际航向之间的夹角误差，并以两条航向线之间的圆弧标出。图中虚线表示期望轨迹，实线表示实际轨迹。图2-3的绘制依据即为式（2.7）与式（2.8）所描述的误差坐标变换关系，其目的在于从几何上直观说明轨迹跟踪误差在体固坐标系中的定义方式。</w:t>
      </w:r>
    </w:p>
    <w:bookmarkEnd w:id="24"/>
    <w:bookmarkEnd w:id="25"/>
    <w:bookmarkStart w:id="29" w:name="usv动力学模型"/>
    <w:p>
      <w:pPr>
        <w:pStyle w:val="Heading2"/>
      </w:pPr>
      <w:r>
        <w:t xml:space="preserve">2.3 USV动力学模型</w:t>
      </w:r>
    </w:p>
    <w:bookmarkStart w:id="26" w:name="fossen三自由度动力学方程"/>
    <w:p>
      <w:pPr>
        <w:pStyle w:val="Heading3"/>
      </w:pPr>
      <w:r>
        <w:t xml:space="preserve">2.3.1 Fossen三自由度动力学方程</w:t>
      </w:r>
    </w:p>
    <w:p>
      <w:pPr>
        <w:pStyle w:val="FirstParagraph"/>
      </w:pPr>
      <w:r>
        <w:t xml:space="preserve">运动学模型只能描述位姿变化与速度之间的关系，而无法揭示控制输入、惯性耦合和水动力阻尼对USV运动状态的实际影响。为了反映船体的动力学特征，本文采用Fossen提出的船舶三自由度动力学建模框架，将刚体惯性、附加质量效应、科氏力、离心力以及流体阻尼统一纳入模型中。体固坐标系下的三自由度动力学方程可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M</m:t>
                </m:r>
                <m:acc>
                  <m:accPr>
                    <m:chr m:val="̇"/>
                  </m:accPr>
                  <m:e>
                    <m:r>
                      <m:t>ν</m:t>
                    </m:r>
                  </m:e>
                </m:acc>
                <m:r>
                  <m:rPr>
                    <m:sty m:val="p"/>
                  </m:rPr>
                  <m:t>+</m:t>
                </m:r>
                <m:r>
                  <m:t>C</m:t>
                </m:r>
                <m:d>
                  <m:dPr>
                    <m:begChr m:val="("/>
                    <m:endChr m:val=")"/>
                    <m:sepChr m:val=""/>
                    <m:grow/>
                  </m:dPr>
                  <m:e>
                    <m:r>
                      <m:t>ν</m:t>
                    </m:r>
                  </m:e>
                </m:d>
                <m:r>
                  <m:t>ν</m:t>
                </m:r>
                <m:r>
                  <m:rPr>
                    <m:sty m:val="p"/>
                  </m:rPr>
                  <m:t>+</m:t>
                </m:r>
                <m:r>
                  <m:t>D</m:t>
                </m:r>
                <m:d>
                  <m:dPr>
                    <m:begChr m:val="("/>
                    <m:endChr m:val=")"/>
                    <m:sepChr m:val=""/>
                    <m:grow/>
                  </m:dPr>
                  <m:e>
                    <m:r>
                      <m:t>ν</m:t>
                    </m:r>
                  </m:e>
                </m:d>
                <m:r>
                  <m:t>ν</m:t>
                </m:r>
                <m:r>
                  <m:rPr>
                    <m:sty m:val="p"/>
                  </m:rPr>
                  <m:t>=</m:t>
                </m:r>
                <m:r>
                  <m:t>τ</m:t>
                </m:r>
                <m:r>
                  <m:rPr>
                    <m:sty m:val="p"/>
                  </m:rPr>
                  <m:t>+</m:t>
                </m:r>
                <m:sSub>
                  <m:e>
                    <m:r>
                      <m:t>τ</m:t>
                    </m:r>
                  </m:e>
                  <m:sub>
                    <m:r>
                      <m:t>d</m:t>
                    </m:r>
                  </m:sub>
                </m:sSub>
              </m:oMath>
            </m:oMathPara>
          </w:p>
        </w:tc>
        <w:tc>
          <w:tcPr>
            <w:tcW w:w="1500" w:type="dxa"/>
            <w:tcBorders>
              <w:top w:val="none" w:sz="0" w:space="0" w:color="auto"/>
              <w:left w:val="none" w:sz="0" w:space="0" w:color="auto"/>
              <w:bottom w:val="none" w:sz="0" w:space="0" w:color="auto"/>
              <w:right w:val="none" w:sz="0" w:space="0" w:color="auto"/>
            </w:tcBorders>
          </w:tcPr>
          <w:p>
            <w:pPr>
              <w:jc w:val="right"/>
            </w:pPr>
            <w:r>
              <w:t>(2.9)</w:t>
            </w:r>
          </w:p>
        </w:tc>
      </w:tr>
    </w:tbl>
    <w:p>
      <w:pPr>
        <w:pStyle w:val="FirstParagraph"/>
      </w:pPr>
      <w:r>
        <w:t xml:space="preserve">其中，</w:t>
      </w:r>
      <m:oMath>
        <m:r>
          <m:t>M</m:t>
        </m:r>
        <m:r>
          <m:rPr>
            <m:sty m:val="p"/>
          </m:rPr>
          <m:t>∈</m:t>
        </m:r>
        <m:sSup>
          <m:e>
            <m:r>
              <m:rPr>
                <m:sty m:val="p"/>
                <m:scr m:val="double-struck"/>
              </m:rPr>
              <m:t>R</m:t>
            </m:r>
          </m:e>
          <m:sup>
            <m:r>
              <m:t>3</m:t>
            </m:r>
            <m:r>
              <m:rPr>
                <m:sty m:val="p"/>
              </m:rPr>
              <m:t>×</m:t>
            </m:r>
            <m:r>
              <m:t>3</m:t>
            </m:r>
          </m:sup>
        </m:sSup>
      </m:oMath>
      <w:r>
        <w:t xml:space="preserve"> 为惯性矩阵，</w:t>
      </w:r>
      <m:oMath>
        <m:r>
          <m:t>C</m:t>
        </m:r>
        <m:d>
          <m:dPr>
            <m:begChr m:val="("/>
            <m:endChr m:val=")"/>
            <m:sepChr m:val=""/>
            <m:grow/>
          </m:dPr>
          <m:e>
            <m:r>
              <m:t>ν</m:t>
            </m:r>
          </m:e>
        </m:d>
        <m:r>
          <m:rPr>
            <m:sty m:val="p"/>
          </m:rPr>
          <m:t>∈</m:t>
        </m:r>
        <m:sSup>
          <m:e>
            <m:r>
              <m:rPr>
                <m:sty m:val="p"/>
                <m:scr m:val="double-struck"/>
              </m:rPr>
              <m:t>R</m:t>
            </m:r>
          </m:e>
          <m:sup>
            <m:r>
              <m:t>3</m:t>
            </m:r>
            <m:r>
              <m:rPr>
                <m:sty m:val="p"/>
              </m:rPr>
              <m:t>×</m:t>
            </m:r>
            <m:r>
              <m:t>3</m:t>
            </m:r>
          </m:sup>
        </m:sSup>
      </m:oMath>
      <w:r>
        <w:t xml:space="preserve"> 为科氏力与离心力矩阵，</w:t>
      </w:r>
      <m:oMath>
        <m:r>
          <m:t>D</m:t>
        </m:r>
        <m:d>
          <m:dPr>
            <m:begChr m:val="("/>
            <m:endChr m:val=")"/>
            <m:sepChr m:val=""/>
            <m:grow/>
          </m:dPr>
          <m:e>
            <m:r>
              <m:t>ν</m:t>
            </m:r>
          </m:e>
        </m:d>
        <m:r>
          <m:rPr>
            <m:sty m:val="p"/>
          </m:rPr>
          <m:t>∈</m:t>
        </m:r>
        <m:sSup>
          <m:e>
            <m:r>
              <m:rPr>
                <m:sty m:val="p"/>
                <m:scr m:val="double-struck"/>
              </m:rPr>
              <m:t>R</m:t>
            </m:r>
          </m:e>
          <m:sup>
            <m:r>
              <m:t>3</m:t>
            </m:r>
            <m:r>
              <m:rPr>
                <m:sty m:val="p"/>
              </m:rPr>
              <m:t>×</m:t>
            </m:r>
            <m:r>
              <m:t>3</m:t>
            </m:r>
          </m:sup>
        </m:sSup>
      </m:oMath>
      <w:r>
        <w:t xml:space="preserve"> 为水动力阻尼矩阵，</w:t>
      </w:r>
      <m:oMath>
        <m:r>
          <m:t>τ</m:t>
        </m:r>
      </m:oMath>
      <w:r>
        <w:t xml:space="preserve"> 为控制输入向量，</w:t>
      </w:r>
      <m:oMath>
        <m:sSub>
          <m:e>
            <m:r>
              <m:t>τ</m:t>
            </m:r>
          </m:e>
          <m:sub>
            <m:r>
              <m:t>d</m:t>
            </m:r>
          </m:sub>
        </m:sSub>
      </m:oMath>
      <w:r>
        <w:t xml:space="preserve"> 为外部环境扰动向量。对于常见的欠驱动USV，其控制输入通常写为：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τ</m:t>
                </m:r>
                <m:r>
                  <m:rPr>
                    <m:sty m:val="p"/>
                  </m:rPr>
                  <m:t>=</m:t>
                </m:r>
                <m:sSup>
                  <m:e>
                    <m:d>
                      <m:dPr>
                        <m:begChr m:val="["/>
                        <m:endChr m:val="]"/>
                        <m:sepChr m:val=""/>
                        <m:grow/>
                      </m:dPr>
                      <m:e>
                        <m:sSub>
                          <m:e>
                            <m:r>
                              <m:t>τ</m:t>
                            </m:r>
                          </m:e>
                          <m:sub>
                            <m:r>
                              <m:t>u</m:t>
                            </m:r>
                          </m:sub>
                        </m:sSub>
                        <m:r>
                          <m:rPr>
                            <m:sty m:val="p"/>
                          </m:rPr>
                          <m:t>,</m:t>
                        </m:r>
                        <m:r>
                          <m:t>0</m:t>
                        </m:r>
                        <m:r>
                          <m:rPr>
                            <m:sty m:val="p"/>
                          </m:rPr>
                          <m:t>,</m:t>
                        </m:r>
                        <m:sSub>
                          <m:e>
                            <m:r>
                              <m:t>τ</m:t>
                            </m:r>
                          </m:e>
                          <m:sub>
                            <m:r>
                              <m:t>r</m:t>
                            </m:r>
                          </m:sub>
                        </m:sSub>
                      </m:e>
                    </m:d>
                  </m:e>
                  <m:sup>
                    <m:r>
                      <m:t>T</m:t>
                    </m:r>
                  </m:sup>
                </m:sSup>
              </m:oMath>
            </m:oMathPara>
          </w:p>
        </w:tc>
        <w:tc>
          <w:tcPr>
            <w:tcW w:w="1500" w:type="dxa"/>
            <w:tcBorders>
              <w:top w:val="none" w:sz="0" w:space="0" w:color="auto"/>
              <w:left w:val="none" w:sz="0" w:space="0" w:color="auto"/>
              <w:bottom w:val="none" w:sz="0" w:space="0" w:color="auto"/>
              <w:right w:val="none" w:sz="0" w:space="0" w:color="auto"/>
            </w:tcBorders>
          </w:tcPr>
          <w:p>
            <w:pPr>
              <w:jc w:val="right"/>
            </w:pPr>
            <w:r>
              <w:t>(2.10)</w:t>
            </w:r>
          </w:p>
        </w:tc>
      </w:tr>
    </w:tbl>
    <w:p>
      <w:pPr>
        <w:pStyle w:val="FirstParagraph"/>
      </w:pPr>
      <w:r>
        <w:t xml:space="preserve">式（2.10）表明，推进系统能够直接提供纵向推力 </w:t>
      </w:r>
      <m:oMath>
        <m:sSub>
          <m:e>
            <m:r>
              <m:t>τ</m:t>
            </m:r>
          </m:e>
          <m:sub>
            <m:r>
              <m:t>u</m:t>
            </m:r>
          </m:sub>
        </m:sSub>
      </m:oMath>
      <w:r>
        <w:t xml:space="preserve"> 和艏摇力矩 </w:t>
      </w:r>
      <m:oMath>
        <m:sSub>
          <m:e>
            <m:r>
              <m:t>τ</m:t>
            </m:r>
          </m:e>
          <m:sub>
            <m:r>
              <m:t>r</m:t>
            </m:r>
          </m:sub>
        </m:sSub>
      </m:oMath>
      <w:r>
        <w:t xml:space="preserve">，但在横荡方向上没有独立控制输入，这正是USV欠驱动特性的本质体现。由于横荡运动只能通过纵向推进与艏向调整之间的耦合作用实现间接调节，因此USV轨迹跟踪控制比全驱动系统更具挑战性。</w:t>
      </w:r>
    </w:p>
    <w:bookmarkEnd w:id="26"/>
    <w:bookmarkStart w:id="27" w:name="惯性矩阵科氏力矩阵与阻尼项分析"/>
    <w:p>
      <w:pPr>
        <w:pStyle w:val="Heading3"/>
      </w:pPr>
      <w:r>
        <w:t xml:space="preserve">2.3.2 惯性矩阵、科氏力矩阵与阻尼项分析</w:t>
      </w:r>
    </w:p>
    <w:p>
      <w:pPr>
        <w:pStyle w:val="FirstParagraph"/>
      </w:pPr>
      <w:r>
        <w:t xml:space="preserve">在三自由度模型中，惯性矩阵通常由刚体惯性和附加质量共同构成。考虑附加质量影响后，USV的等效惯性矩阵可表示为：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m</m:t>
                          </m:r>
                          <m:r>
                            <m:rPr>
                              <m:sty m:val="p"/>
                            </m:rPr>
                            <m:t>−</m:t>
                          </m:r>
                          <m:sSub>
                            <m:e>
                              <m:r>
                                <m:t>X</m:t>
                              </m:r>
                            </m:e>
                            <m:sub>
                              <m:acc>
                                <m:accPr>
                                  <m:chr m:val="̇"/>
                                </m:accPr>
                                <m:e>
                                  <m:r>
                                    <m:t>u</m:t>
                                  </m:r>
                                </m:e>
                              </m:acc>
                            </m:sub>
                          </m:sSub>
                        </m:e>
                        <m:e>
                          <m:r>
                            <m:t>0</m:t>
                          </m:r>
                        </m:e>
                        <m:e>
                          <m:r>
                            <m:t>0</m:t>
                          </m:r>
                        </m:e>
                      </m:mr>
                      <m:mr>
                        <m:e>
                          <m:r>
                            <m:t>0</m:t>
                          </m:r>
                        </m:e>
                        <m:e>
                          <m:r>
                            <m:t>m</m:t>
                          </m:r>
                          <m:r>
                            <m:rPr>
                              <m:sty m:val="p"/>
                            </m:rPr>
                            <m:t>−</m:t>
                          </m:r>
                          <m:sSub>
                            <m:e>
                              <m:r>
                                <m:t>Y</m:t>
                              </m:r>
                            </m:e>
                            <m:sub>
                              <m:acc>
                                <m:accPr>
                                  <m:chr m:val="̇"/>
                                </m:accPr>
                                <m:e>
                                  <m:r>
                                    <m:t>v</m:t>
                                  </m:r>
                                </m:e>
                              </m:acc>
                            </m:sub>
                          </m:sSub>
                        </m:e>
                        <m:e>
                          <m:r>
                            <m:t>m</m:t>
                          </m:r>
                          <m:sSub>
                            <m:e>
                              <m:r>
                                <m:t>x</m:t>
                              </m:r>
                            </m:e>
                            <m:sub>
                              <m:r>
                                <m:t>g</m:t>
                              </m:r>
                            </m:sub>
                          </m:sSub>
                          <m:r>
                            <m:rPr>
                              <m:sty m:val="p"/>
                            </m:rPr>
                            <m:t>−</m:t>
                          </m:r>
                          <m:sSub>
                            <m:e>
                              <m:r>
                                <m:t>Y</m:t>
                              </m:r>
                            </m:e>
                            <m:sub>
                              <m:acc>
                                <m:accPr>
                                  <m:chr m:val="̇"/>
                                </m:accPr>
                                <m:e>
                                  <m:r>
                                    <m:t>r</m:t>
                                  </m:r>
                                </m:e>
                              </m:acc>
                            </m:sub>
                          </m:sSub>
                        </m:e>
                      </m:mr>
                      <m:mr>
                        <m:e>
                          <m:r>
                            <m:t>0</m:t>
                          </m:r>
                        </m:e>
                        <m:e>
                          <m:r>
                            <m:t>m</m:t>
                          </m:r>
                          <m:sSub>
                            <m:e>
                              <m:r>
                                <m:t>x</m:t>
                              </m:r>
                            </m:e>
                            <m:sub>
                              <m:r>
                                <m:t>g</m:t>
                              </m:r>
                            </m:sub>
                          </m:sSub>
                          <m:r>
                            <m:rPr>
                              <m:sty m:val="p"/>
                            </m:rPr>
                            <m:t>−</m:t>
                          </m:r>
                          <m:sSub>
                            <m:e>
                              <m:r>
                                <m:t>N</m:t>
                              </m:r>
                            </m:e>
                            <m:sub>
                              <m:acc>
                                <m:accPr>
                                  <m:chr m:val="̇"/>
                                </m:accPr>
                                <m:e>
                                  <m:r>
                                    <m:t>v</m:t>
                                  </m:r>
                                </m:e>
                              </m:acc>
                            </m:sub>
                          </m:sSub>
                        </m:e>
                        <m:e>
                          <m:sSub>
                            <m:e>
                              <m:r>
                                <m:t>I</m:t>
                              </m:r>
                            </m:e>
                            <m:sub>
                              <m:r>
                                <m:t>z</m:t>
                              </m:r>
                            </m:sub>
                          </m:sSub>
                          <m:r>
                            <m:rPr>
                              <m:sty m:val="p"/>
                            </m:rPr>
                            <m:t>−</m:t>
                          </m:r>
                          <m:sSub>
                            <m:e>
                              <m:r>
                                <m:t>N</m:t>
                              </m:r>
                            </m:e>
                            <m:sub>
                              <m:acc>
                                <m:accPr>
                                  <m:chr m:val="̇"/>
                                </m:accPr>
                                <m:e>
                                  <m:r>
                                    <m:t>r</m:t>
                                  </m:r>
                                </m:e>
                              </m:acc>
                            </m:sub>
                          </m:sSub>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(2.11)</w:t>
            </w:r>
          </w:p>
        </w:tc>
      </w:tr>
    </w:tbl>
    <w:p>
      <w:pPr>
        <w:pStyle w:val="FirstParagraph"/>
      </w:pPr>
      <w:r>
        <w:t xml:space="preserve">其中，</w:t>
      </w:r>
      <m:oMath>
        <m:r>
          <m:t>m</m:t>
        </m:r>
      </m:oMath>
      <w:r>
        <w:t xml:space="preserve"> 为USV质量，</w:t>
      </w:r>
      <m:oMath>
        <m:sSub>
          <m:e>
            <m:r>
              <m:t>I</m:t>
            </m:r>
          </m:e>
          <m:sub>
            <m:r>
              <m:t>z</m:t>
            </m:r>
          </m:sub>
        </m:sSub>
      </m:oMath>
      <w:r>
        <w:t xml:space="preserve"> 为绕垂直轴的转动惯量，</w:t>
      </w:r>
      <m:oMath>
        <m:sSub>
          <m:e>
            <m:r>
              <m:t>x</m:t>
            </m:r>
          </m:e>
          <m:sub>
            <m:r>
              <m:t>g</m:t>
            </m:r>
          </m:sub>
        </m:sSub>
      </m:oMath>
      <w:r>
        <w:t xml:space="preserve"> 为质心相对于体固坐标原点在 </w:t>
      </w:r>
      <m:oMath>
        <m:r>
          <m:t>x</m:t>
        </m:r>
      </m:oMath>
      <w:r>
        <w:t xml:space="preserve"> 方向上的偏移量，</w:t>
      </w:r>
      <m:oMath>
        <m:sSub>
          <m:e>
            <m:r>
              <m:t>X</m:t>
            </m:r>
          </m:e>
          <m:sub>
            <m:acc>
              <m:accPr>
                <m:chr m:val="̇"/>
              </m:accPr>
              <m:e>
                <m:r>
                  <m:t>u</m:t>
                </m:r>
              </m:e>
            </m:acc>
          </m:sub>
        </m:sSub>
      </m:oMath>
      <w:r>
        <w:t xml:space="preserve">、</w:t>
      </w:r>
      <m:oMath>
        <m:sSub>
          <m:e>
            <m:r>
              <m:t>Y</m:t>
            </m:r>
          </m:e>
          <m:sub>
            <m:acc>
              <m:accPr>
                <m:chr m:val="̇"/>
              </m:accPr>
              <m:e>
                <m:r>
                  <m:t>v</m:t>
                </m:r>
              </m:e>
            </m:acc>
          </m:sub>
        </m:sSub>
      </m:oMath>
      <w:r>
        <w:t xml:space="preserve">、</w:t>
      </w:r>
      <m:oMath>
        <m:sSub>
          <m:e>
            <m:r>
              <m:t>Y</m:t>
            </m:r>
          </m:e>
          <m:sub>
            <m:acc>
              <m:accPr>
                <m:chr m:val="̇"/>
              </m:accPr>
              <m:e>
                <m:r>
                  <m:t>r</m:t>
                </m:r>
              </m:e>
            </m:acc>
          </m:sub>
        </m:sSub>
      </m:oMath>
      <w:r>
        <w:t xml:space="preserve">、</w:t>
      </w:r>
      <m:oMath>
        <m:sSub>
          <m:e>
            <m:r>
              <m:t>N</m:t>
            </m:r>
          </m:e>
          <m:sub>
            <m:acc>
              <m:accPr>
                <m:chr m:val="̇"/>
              </m:accPr>
              <m:e>
                <m:r>
                  <m:t>v</m:t>
                </m:r>
              </m:e>
            </m:acc>
          </m:sub>
        </m:sSub>
      </m:oMath>
      <w:r>
        <w:t xml:space="preserve"> 和 </w:t>
      </w:r>
      <m:oMath>
        <m:sSub>
          <m:e>
            <m:r>
              <m:t>N</m:t>
            </m:r>
          </m:e>
          <m:sub>
            <m:acc>
              <m:accPr>
                <m:chr m:val="̇"/>
              </m:accPr>
              <m:e>
                <m:r>
                  <m:t>r</m:t>
                </m:r>
              </m:e>
            </m:acc>
          </m:sub>
        </m:sSub>
      </m:oMath>
      <w:r>
        <w:t xml:space="preserve"> 为附加质量或附加转动惯量系数。式（2.11）说明，USV并非简单的对角惯性系统，纵荡、横荡与艏摇之间通常存在耦合项，特别是在质心偏移不为零或船体附加质量分布不对称时，耦合效应更加明显。</w:t>
      </w:r>
    </w:p>
    <w:p>
      <w:pPr>
        <w:pStyle w:val="BodyText"/>
      </w:pPr>
      <w:r>
        <w:t xml:space="preserve">与惯性矩阵相对应，科氏力和离心力矩阵可以写为：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C</m:t>
                </m:r>
                <m:d>
                  <m:dPr>
                    <m:begChr m:val="("/>
                    <m:endChr m:val=")"/>
                    <m:sepChr m:val=""/>
                    <m:grow/>
                  </m:dPr>
                  <m:e>
                    <m:r>
                      <m:t>ν</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rPr>
                              <m:sty m:val="p"/>
                            </m:rPr>
                            <m:t>−</m:t>
                          </m:r>
                          <m:d>
                            <m:dPr>
                              <m:begChr m:val="("/>
                              <m:endChr m:val=")"/>
                              <m:sepChr m:val=""/>
                              <m:grow/>
                            </m:dPr>
                            <m:e>
                              <m:r>
                                <m:t>m</m:t>
                              </m:r>
                              <m:r>
                                <m:rPr>
                                  <m:sty m:val="p"/>
                                </m:rPr>
                                <m:t>−</m:t>
                              </m:r>
                              <m:sSub>
                                <m:e>
                                  <m:r>
                                    <m:t>Y</m:t>
                                  </m:r>
                                </m:e>
                                <m:sub>
                                  <m:acc>
                                    <m:accPr>
                                      <m:chr m:val="̇"/>
                                    </m:accPr>
                                    <m:e>
                                      <m:r>
                                        <m:t>v</m:t>
                                      </m:r>
                                    </m:e>
                                  </m:acc>
                                </m:sub>
                              </m:sSub>
                            </m:e>
                          </m:d>
                          <m:r>
                            <m:t>v</m:t>
                          </m:r>
                          <m:r>
                            <m:rPr>
                              <m:sty m:val="p"/>
                            </m:rPr>
                            <m:t>−</m:t>
                          </m:r>
                          <m:d>
                            <m:dPr>
                              <m:begChr m:val="("/>
                              <m:endChr m:val=")"/>
                              <m:sepChr m:val=""/>
                              <m:grow/>
                            </m:dPr>
                            <m:e>
                              <m:r>
                                <m:t>m</m:t>
                              </m:r>
                              <m:sSub>
                                <m:e>
                                  <m:r>
                                    <m:t>x</m:t>
                                  </m:r>
                                </m:e>
                                <m:sub>
                                  <m:r>
                                    <m:t>g</m:t>
                                  </m:r>
                                </m:sub>
                              </m:sSub>
                              <m:r>
                                <m:rPr>
                                  <m:sty m:val="p"/>
                                </m:rPr>
                                <m:t>−</m:t>
                              </m:r>
                              <m:sSub>
                                <m:e>
                                  <m:r>
                                    <m:t>Y</m:t>
                                  </m:r>
                                </m:e>
                                <m:sub>
                                  <m:acc>
                                    <m:accPr>
                                      <m:chr m:val="̇"/>
                                    </m:accPr>
                                    <m:e>
                                      <m:r>
                                        <m:t>r</m:t>
                                      </m:r>
                                    </m:e>
                                  </m:acc>
                                </m:sub>
                              </m:sSub>
                            </m:e>
                          </m:d>
                          <m:r>
                            <m:t>r</m:t>
                          </m:r>
                        </m:e>
                      </m:mr>
                      <m:mr>
                        <m:e>
                          <m:r>
                            <m:t>0</m:t>
                          </m:r>
                        </m:e>
                        <m:e>
                          <m:r>
                            <m:t>0</m:t>
                          </m:r>
                        </m:e>
                        <m:e>
                          <m:d>
                            <m:dPr>
                              <m:begChr m:val="("/>
                              <m:endChr m:val=")"/>
                              <m:sepChr m:val=""/>
                              <m:grow/>
                            </m:dPr>
                            <m:e>
                              <m:r>
                                <m:t>m</m:t>
                              </m:r>
                              <m:r>
                                <m:rPr>
                                  <m:sty m:val="p"/>
                                </m:rPr>
                                <m:t>−</m:t>
                              </m:r>
                              <m:sSub>
                                <m:e>
                                  <m:r>
                                    <m:t>X</m:t>
                                  </m:r>
                                </m:e>
                                <m:sub>
                                  <m:acc>
                                    <m:accPr>
                                      <m:chr m:val="̇"/>
                                    </m:accPr>
                                    <m:e>
                                      <m:r>
                                        <m:t>u</m:t>
                                      </m:r>
                                    </m:e>
                                  </m:acc>
                                </m:sub>
                              </m:sSub>
                            </m:e>
                          </m:d>
                          <m:r>
                            <m:t>u</m:t>
                          </m:r>
                        </m:e>
                      </m:mr>
                      <m:mr>
                        <m:e>
                          <m:d>
                            <m:dPr>
                              <m:begChr m:val="("/>
                              <m:endChr m:val=")"/>
                              <m:sepChr m:val=""/>
                              <m:grow/>
                            </m:dPr>
                            <m:e>
                              <m:r>
                                <m:t>m</m:t>
                              </m:r>
                              <m:r>
                                <m:rPr>
                                  <m:sty m:val="p"/>
                                </m:rPr>
                                <m:t>−</m:t>
                              </m:r>
                              <m:sSub>
                                <m:e>
                                  <m:r>
                                    <m:t>Y</m:t>
                                  </m:r>
                                </m:e>
                                <m:sub>
                                  <m:acc>
                                    <m:accPr>
                                      <m:chr m:val="̇"/>
                                    </m:accPr>
                                    <m:e>
                                      <m:r>
                                        <m:t>v</m:t>
                                      </m:r>
                                    </m:e>
                                  </m:acc>
                                </m:sub>
                              </m:sSub>
                            </m:e>
                          </m:d>
                          <m:r>
                            <m:t>v</m:t>
                          </m:r>
                          <m:r>
                            <m:rPr>
                              <m:sty m:val="p"/>
                            </m:rPr>
                            <m:t>+</m:t>
                          </m:r>
                          <m:d>
                            <m:dPr>
                              <m:begChr m:val="("/>
                              <m:endChr m:val=")"/>
                              <m:sepChr m:val=""/>
                              <m:grow/>
                            </m:dPr>
                            <m:e>
                              <m:r>
                                <m:t>m</m:t>
                              </m:r>
                              <m:sSub>
                                <m:e>
                                  <m:r>
                                    <m:t>x</m:t>
                                  </m:r>
                                </m:e>
                                <m:sub>
                                  <m:r>
                                    <m:t>g</m:t>
                                  </m:r>
                                </m:sub>
                              </m:sSub>
                              <m:r>
                                <m:rPr>
                                  <m:sty m:val="p"/>
                                </m:rPr>
                                <m:t>−</m:t>
                              </m:r>
                              <m:sSub>
                                <m:e>
                                  <m:r>
                                    <m:t>N</m:t>
                                  </m:r>
                                </m:e>
                                <m:sub>
                                  <m:acc>
                                    <m:accPr>
                                      <m:chr m:val="̇"/>
                                    </m:accPr>
                                    <m:e>
                                      <m:r>
                                        <m:t>v</m:t>
                                      </m:r>
                                    </m:e>
                                  </m:acc>
                                </m:sub>
                              </m:sSub>
                            </m:e>
                          </m:d>
                          <m:r>
                            <m:t>r</m:t>
                          </m:r>
                        </m:e>
                        <m:e>
                          <m:r>
                            <m:rPr>
                              <m:sty m:val="p"/>
                            </m:rPr>
                            <m:t>−</m:t>
                          </m:r>
                          <m:d>
                            <m:dPr>
                              <m:begChr m:val="("/>
                              <m:endChr m:val=")"/>
                              <m:sepChr m:val=""/>
                              <m:grow/>
                            </m:dPr>
                            <m:e>
                              <m:r>
                                <m:t>m</m:t>
                              </m:r>
                              <m:r>
                                <m:rPr>
                                  <m:sty m:val="p"/>
                                </m:rPr>
                                <m:t>−</m:t>
                              </m:r>
                              <m:sSub>
                                <m:e>
                                  <m:r>
                                    <m:t>X</m:t>
                                  </m:r>
                                </m:e>
                                <m:sub>
                                  <m:acc>
                                    <m:accPr>
                                      <m:chr m:val="̇"/>
                                    </m:accPr>
                                    <m:e>
                                      <m:r>
                                        <m:t>u</m:t>
                                      </m:r>
                                    </m:e>
                                  </m:acc>
                                </m:sub>
                              </m:sSub>
                            </m:e>
                          </m:d>
                          <m:r>
                            <m:t>u</m:t>
                          </m:r>
                        </m:e>
                        <m:e>
                          <m:r>
                            <m:t>0</m:t>
                          </m:r>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(2.12)</w:t>
            </w:r>
          </w:p>
        </w:tc>
      </w:tr>
    </w:tbl>
    <w:p>
      <w:pPr>
        <w:pStyle w:val="FirstParagraph"/>
      </w:pPr>
      <w:r>
        <w:t xml:space="preserve">由式（2.12）可以看出，科氏力矩阵中的元素均与系统速度状态有关，因此该项反映了典型的速度耦合非线性。随着航速增大或转向增强，耦合作用会进一步放大，使得USV的轨迹跟踪控制问题呈现更强的非线性特征。</w:t>
      </w:r>
    </w:p>
    <w:p>
      <w:pPr>
        <w:pStyle w:val="BodyText"/>
      </w:pPr>
      <w:r>
        <w:t xml:space="preserve">在阻尼项建模方面，考虑到水体对船体的黏性阻力和涡激阻力会随速度变化而变化，本文采用包含线性项和二次非线性项的阻尼表达方式，即：</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D</m:t>
                </m:r>
                <m:d>
                  <m:dPr>
                    <m:begChr m:val="("/>
                    <m:endChr m:val=")"/>
                    <m:sepChr m:val=""/>
                    <m:grow/>
                  </m:dPr>
                  <m:e>
                    <m:r>
                      <m:t>ν</m:t>
                    </m:r>
                  </m:e>
                </m:d>
                <m:r>
                  <m:t>ν</m:t>
                </m:r>
                <m:r>
                  <m:rPr>
                    <m:sty m:val="p"/>
                  </m:rPr>
                  <m:t>=</m:t>
                </m:r>
                <m:d>
                  <m:dPr>
                    <m:begChr m:val="["/>
                    <m:endChr m:val="]"/>
                    <m:sepChr m:val=""/>
                    <m:grow/>
                  </m:dPr>
                  <m:e>
                    <m:m>
                      <m:mPr>
                        <m:baseJc m:val="center"/>
                        <m:plcHide m:val="on"/>
                        <m:mcs>
                          <m:mc>
                            <m:mcPr>
                              <m:mcJc m:val="center"/>
                              <m:count m:val="1"/>
                            </m:mcPr>
                          </m:mc>
                        </m:mcs>
                      </m:mPr>
                      <m:mr>
                        <m:e>
                          <m:d>
                            <m:dPr>
                              <m:begChr m:val="("/>
                              <m:endChr m:val=")"/>
                              <m:sepChr m:val=""/>
                              <m:grow/>
                            </m:dPr>
                            <m:e>
                              <m:sSub>
                                <m:e>
                                  <m:r>
                                    <m:t>X</m:t>
                                  </m:r>
                                </m:e>
                                <m:sub>
                                  <m:r>
                                    <m:t>u</m:t>
                                  </m:r>
                                </m:sub>
                              </m:sSub>
                              <m:r>
                                <m:rPr>
                                  <m:sty m:val="p"/>
                                </m:rPr>
                                <m:t>+</m:t>
                              </m:r>
                              <m:sSub>
                                <m:e>
                                  <m:r>
                                    <m:t>X</m:t>
                                  </m:r>
                                </m:e>
                                <m:sub>
                                  <m:d>
                                    <m:dPr>
                                      <m:begChr m:val="|"/>
                                      <m:endChr m:val="|"/>
                                      <m:sepChr m:val=""/>
                                      <m:grow/>
                                    </m:dPr>
                                    <m:e>
                                      <m:r>
                                        <m:t>u</m:t>
                                      </m:r>
                                    </m:e>
                                  </m:d>
                                  <m:r>
                                    <m:t>u</m:t>
                                  </m:r>
                                </m:sub>
                              </m:sSub>
                              <m:d>
                                <m:dPr>
                                  <m:begChr m:val="|"/>
                                  <m:endChr m:val="|"/>
                                  <m:sepChr m:val=""/>
                                  <m:grow/>
                                </m:dPr>
                                <m:e>
                                  <m:r>
                                    <m:t>u</m:t>
                                  </m:r>
                                </m:e>
                              </m:d>
                            </m:e>
                          </m:d>
                          <m:r>
                            <m:t>u</m:t>
                          </m:r>
                        </m:e>
                      </m:mr>
                      <m:mr>
                        <m:e>
                          <m:d>
                            <m:dPr>
                              <m:begChr m:val="("/>
                              <m:endChr m:val=")"/>
                              <m:sepChr m:val=""/>
                              <m:grow/>
                            </m:dPr>
                            <m:e>
                              <m:sSub>
                                <m:e>
                                  <m:r>
                                    <m:t>Y</m:t>
                                  </m:r>
                                </m:e>
                                <m:sub>
                                  <m:r>
                                    <m:t>v</m:t>
                                  </m:r>
                                </m:sub>
                              </m:sSub>
                              <m:r>
                                <m:rPr>
                                  <m:sty m:val="p"/>
                                </m:rPr>
                                <m:t>+</m:t>
                              </m:r>
                              <m:sSub>
                                <m:e>
                                  <m:r>
                                    <m:t>Y</m:t>
                                  </m:r>
                                </m:e>
                                <m:sub>
                                  <m:d>
                                    <m:dPr>
                                      <m:begChr m:val="|"/>
                                      <m:endChr m:val="|"/>
                                      <m:sepChr m:val=""/>
                                      <m:grow/>
                                    </m:dPr>
                                    <m:e>
                                      <m:r>
                                        <m:t>v</m:t>
                                      </m:r>
                                    </m:e>
                                  </m:d>
                                  <m:r>
                                    <m:t>v</m:t>
                                  </m:r>
                                </m:sub>
                              </m:sSub>
                              <m:d>
                                <m:dPr>
                                  <m:begChr m:val="|"/>
                                  <m:endChr m:val="|"/>
                                  <m:sepChr m:val=""/>
                                  <m:grow/>
                                </m:dPr>
                                <m:e>
                                  <m:r>
                                    <m:t>v</m:t>
                                  </m:r>
                                </m:e>
                              </m:d>
                            </m:e>
                          </m:d>
                          <m:r>
                            <m:t>v</m:t>
                          </m:r>
                          <m:r>
                            <m:rPr>
                              <m:sty m:val="p"/>
                            </m:rPr>
                            <m:t>+</m:t>
                          </m:r>
                          <m:sSub>
                            <m:e>
                              <m:r>
                                <m:t>Y</m:t>
                              </m:r>
                            </m:e>
                            <m:sub>
                              <m:r>
                                <m:t>r</m:t>
                              </m:r>
                            </m:sub>
                          </m:sSub>
                          <m:r>
                            <m:t>r</m:t>
                          </m:r>
                        </m:e>
                      </m:mr>
                      <m:mr>
                        <m:e>
                          <m:sSub>
                            <m:e>
                              <m:r>
                                <m:t>N</m:t>
                              </m:r>
                            </m:e>
                            <m:sub>
                              <m:r>
                                <m:t>v</m:t>
                              </m:r>
                            </m:sub>
                          </m:sSub>
                          <m:r>
                            <m:t>v</m:t>
                          </m:r>
                          <m:r>
                            <m:rPr>
                              <m:sty m:val="p"/>
                            </m:rPr>
                            <m:t>+</m:t>
                          </m:r>
                          <m:d>
                            <m:dPr>
                              <m:begChr m:val="("/>
                              <m:endChr m:val=")"/>
                              <m:sepChr m:val=""/>
                              <m:grow/>
                            </m:dPr>
                            <m:e>
                              <m:sSub>
                                <m:e>
                                  <m:r>
                                    <m:t>N</m:t>
                                  </m:r>
                                </m:e>
                                <m:sub>
                                  <m:r>
                                    <m:t>r</m:t>
                                  </m:r>
                                </m:sub>
                              </m:sSub>
                              <m:r>
                                <m:rPr>
                                  <m:sty m:val="p"/>
                                </m:rPr>
                                <m:t>+</m:t>
                              </m:r>
                              <m:sSub>
                                <m:e>
                                  <m:r>
                                    <m:t>N</m:t>
                                  </m:r>
                                </m:e>
                                <m:sub>
                                  <m:d>
                                    <m:dPr>
                                      <m:begChr m:val="|"/>
                                      <m:endChr m:val="|"/>
                                      <m:sepChr m:val=""/>
                                      <m:grow/>
                                    </m:dPr>
                                    <m:e>
                                      <m:r>
                                        <m:t>r</m:t>
                                      </m:r>
                                    </m:e>
                                  </m:d>
                                  <m:r>
                                    <m:t>r</m:t>
                                  </m:r>
                                </m:sub>
                              </m:sSub>
                              <m:d>
                                <m:dPr>
                                  <m:begChr m:val="|"/>
                                  <m:endChr m:val="|"/>
                                  <m:sepChr m:val=""/>
                                  <m:grow/>
                                </m:dPr>
                                <m:e>
                                  <m:r>
                                    <m:t>r</m:t>
                                  </m:r>
                                </m:e>
                              </m:d>
                            </m:e>
                          </m:d>
                          <m:r>
                            <m:t>r</m:t>
                          </m:r>
                        </m:e>
                      </m:mr>
                    </m:m>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(2.13)</w:t>
            </w:r>
          </w:p>
        </w:tc>
      </w:tr>
    </w:tbl>
    <w:p>
      <w:pPr>
        <w:pStyle w:val="FirstParagraph"/>
      </w:pPr>
      <w:r>
        <w:t xml:space="preserve">式（2.13）中的 </w:t>
      </w:r>
      <m:oMath>
        <m:sSub>
          <m:e>
            <m:r>
              <m:t>X</m:t>
            </m:r>
          </m:e>
          <m:sub>
            <m:r>
              <m:t>u</m:t>
            </m:r>
          </m:sub>
        </m:sSub>
      </m:oMath>
      <w:r>
        <w:t xml:space="preserve">、</w:t>
      </w:r>
      <m:oMath>
        <m:sSub>
          <m:e>
            <m:r>
              <m:t>Y</m:t>
            </m:r>
          </m:e>
          <m:sub>
            <m:r>
              <m:t>v</m:t>
            </m:r>
          </m:sub>
        </m:sSub>
      </m:oMath>
      <w:r>
        <w:t xml:space="preserve">、</w:t>
      </w:r>
      <m:oMath>
        <m:sSub>
          <m:e>
            <m:r>
              <m:t>Y</m:t>
            </m:r>
          </m:e>
          <m:sub>
            <m:r>
              <m:t>r</m:t>
            </m:r>
          </m:sub>
        </m:sSub>
      </m:oMath>
      <w:r>
        <w:t xml:space="preserve">、</w:t>
      </w:r>
      <m:oMath>
        <m:sSub>
          <m:e>
            <m:r>
              <m:t>N</m:t>
            </m:r>
          </m:e>
          <m:sub>
            <m:r>
              <m:t>v</m:t>
            </m:r>
          </m:sub>
        </m:sSub>
      </m:oMath>
      <w:r>
        <w:t xml:space="preserve"> 和 </w:t>
      </w:r>
      <m:oMath>
        <m:sSub>
          <m:e>
            <m:r>
              <m:t>N</m:t>
            </m:r>
          </m:e>
          <m:sub>
            <m:r>
              <m:t>r</m:t>
            </m:r>
          </m:sub>
        </m:sSub>
      </m:oMath>
      <w:r>
        <w:t xml:space="preserve"> 为线性阻尼系数，</w:t>
      </w:r>
      <m:oMath>
        <m:sSub>
          <m:e>
            <m:r>
              <m:t>X</m:t>
            </m:r>
          </m:e>
          <m:sub>
            <m:d>
              <m:dPr>
                <m:begChr m:val="|"/>
                <m:endChr m:val="|"/>
                <m:sepChr m:val=""/>
                <m:grow/>
              </m:dPr>
              <m:e>
                <m:r>
                  <m:t>u</m:t>
                </m:r>
              </m:e>
            </m:d>
            <m:r>
              <m:t>u</m:t>
            </m:r>
          </m:sub>
        </m:sSub>
      </m:oMath>
      <w:r>
        <w:t xml:space="preserve">、</w:t>
      </w:r>
      <m:oMath>
        <m:sSub>
          <m:e>
            <m:r>
              <m:t>Y</m:t>
            </m:r>
          </m:e>
          <m:sub>
            <m:d>
              <m:dPr>
                <m:begChr m:val="|"/>
                <m:endChr m:val="|"/>
                <m:sepChr m:val=""/>
                <m:grow/>
              </m:dPr>
              <m:e>
                <m:r>
                  <m:t>v</m:t>
                </m:r>
              </m:e>
            </m:d>
            <m:r>
              <m:t>v</m:t>
            </m:r>
          </m:sub>
        </m:sSub>
      </m:oMath>
      <w:r>
        <w:t xml:space="preserve"> 和 </w:t>
      </w:r>
      <m:oMath>
        <m:sSub>
          <m:e>
            <m:r>
              <m:t>N</m:t>
            </m:r>
          </m:e>
          <m:sub>
            <m:d>
              <m:dPr>
                <m:begChr m:val="|"/>
                <m:endChr m:val="|"/>
                <m:sepChr m:val=""/>
                <m:grow/>
              </m:dPr>
              <m:e>
                <m:r>
                  <m:t>r</m:t>
                </m:r>
              </m:e>
            </m:d>
            <m:r>
              <m:t>r</m:t>
            </m:r>
          </m:sub>
        </m:sSub>
      </m:oMath>
      <w:r>
        <w:t xml:space="preserve"> 为二次阻尼系数。该表达式能够较好刻画USV在中低速航行时常见的非线性阻尼特性，同时也说明水动力参数对控制性能具有直接影响。当这些参数难以准确测量时，控制器必须具备一定的自适应和鲁棒补偿能力。此外，惯性矩阵与阻尼矩阵共同决定了USV对控制输入的动态响应速度：惯量越大，状态变化越缓慢；阻尼越强，系统对外部干扰的瞬时敏感性越低，但也可能牺牲机动灵活性。</w:t>
      </w:r>
    </w:p>
    <w:p>
      <w:pPr>
        <w:pStyle w:val="BodyText"/>
      </w:pPr>
    </w:p>
    <w:p>
      <w:pPr>
        <w:pStyle w:val="BodyText"/>
      </w:pPr>
      <w:r>
        <w:t xml:space="preserve">图2-4 USV三自由度受力与力矩分解示意图</w:t>
      </w:r>
    </w:p>
    <w:p>
      <w:pPr>
        <w:pStyle w:val="BodyText"/>
      </w:pPr>
      <w:r>
        <w:t xml:space="preserve">其中，</w:t>
      </w:r>
      <m:oMath>
        <m:sSub>
          <m:e>
            <m:r>
              <m:t>x</m:t>
            </m:r>
          </m:e>
          <m:sub>
            <m:r>
              <m:t>b</m:t>
            </m:r>
          </m:sub>
        </m:sSub>
      </m:oMath>
      <w:r>
        <w:t xml:space="preserve"> 和 </w:t>
      </w:r>
      <m:oMath>
        <m:sSub>
          <m:e>
            <m:r>
              <m:t>y</m:t>
            </m:r>
          </m:e>
          <m:sub>
            <m:r>
              <m:t>b</m:t>
            </m:r>
          </m:sub>
        </m:sSub>
      </m:oMath>
      <w:r>
        <w:t xml:space="preserve"> 分别表示体固坐标系的纵向轴与横向轴；</w:t>
      </w:r>
      <m:oMath>
        <m:r>
          <m:t>u</m:t>
        </m:r>
      </m:oMath>
      <w:r>
        <w:t xml:space="preserve">、</w:t>
      </w:r>
      <m:oMath>
        <m:r>
          <m:t>v</m:t>
        </m:r>
      </m:oMath>
      <w:r>
        <w:t xml:space="preserve"> 和 </w:t>
      </w:r>
      <m:oMath>
        <m:r>
          <m:t>r</m:t>
        </m:r>
      </m:oMath>
      <w:r>
        <w:t xml:space="preserve"> 分别表示纵荡速度、横荡速度和艏摇角速度；</w:t>
      </w:r>
      <m:oMath>
        <m:sSub>
          <m:e>
            <m:r>
              <m:t>τ</m:t>
            </m:r>
          </m:e>
          <m:sub>
            <m:r>
              <m:t>u</m:t>
            </m:r>
          </m:sub>
        </m:sSub>
      </m:oMath>
      <w:r>
        <w:t xml:space="preserve"> 表示推进系统提供的纵向推力，</w:t>
      </w:r>
      <m:oMath>
        <m:sSub>
          <m:e>
            <m:r>
              <m:t>τ</m:t>
            </m:r>
          </m:e>
          <m:sub>
            <m:r>
              <m:t>r</m:t>
            </m:r>
          </m:sub>
        </m:sSub>
      </m:oMath>
      <w:r>
        <w:t xml:space="preserve"> 表示绕垂直轴的控制力矩；</w:t>
      </w:r>
      <m:oMath>
        <m:sSub>
          <m:e>
            <m:r>
              <m:t>D</m:t>
            </m:r>
          </m:e>
          <m:sub>
            <m:r>
              <m:t>u</m:t>
            </m:r>
          </m:sub>
        </m:sSub>
      </m:oMath>
      <w:r>
        <w:t xml:space="preserve"> 和 </w:t>
      </w:r>
      <m:oMath>
        <m:sSub>
          <m:e>
            <m:r>
              <m:t>D</m:t>
            </m:r>
          </m:e>
          <m:sub>
            <m:r>
              <m:t>v</m:t>
            </m:r>
          </m:sub>
        </m:sSub>
      </m:oMath>
      <w:r>
        <w:t xml:space="preserve"> 分别表示纵荡方向与横荡方向的阻尼作用项。图2-4的绘制依据来源于式（2.9）至式（2.14）所给出的动力学结构，其核心作用是将速度变量、控制输入和阻尼效应对应到具体的船体平面受力关系上。</w:t>
      </w:r>
    </w:p>
    <w:bookmarkEnd w:id="27"/>
    <w:bookmarkStart w:id="28" w:name="欠驱动特性与控制导向动力学表达"/>
    <w:p>
      <w:pPr>
        <w:pStyle w:val="Heading3"/>
      </w:pPr>
      <w:r>
        <w:t xml:space="preserve">2.3.3 欠驱动特性与控制导向动力学表达</w:t>
      </w:r>
    </w:p>
    <w:p>
      <w:pPr>
        <w:pStyle w:val="FirstParagraph"/>
      </w:pPr>
      <w:r>
        <w:t xml:space="preserve">将式（2.9）整理后，可得速度状态的显式形式：</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acc>
                  <m:accPr>
                    <m:chr m:val="̇"/>
                  </m:accPr>
                  <m:e>
                    <m:r>
                      <m:t>ν</m:t>
                    </m:r>
                  </m:e>
                </m:acc>
                <m:r>
                  <m:rPr>
                    <m:sty m:val="p"/>
                  </m:rPr>
                  <m:t>=</m:t>
                </m:r>
                <m:sSup>
                  <m:e>
                    <m:r>
                      <m:t>M</m:t>
                    </m:r>
                  </m:e>
                  <m:sup>
                    <m:r>
                      <m:rPr>
                        <m:sty m:val="p"/>
                      </m:rPr>
                      <m:t>−</m:t>
                    </m:r>
                    <m:r>
                      <m:t>1</m:t>
                    </m:r>
                  </m:sup>
                </m:sSup>
                <m:d>
                  <m:dPr>
                    <m:begChr m:val="["/>
                    <m:endChr m:val="]"/>
                    <m:sepChr m:val=""/>
                    <m:grow/>
                  </m:dPr>
                  <m:e>
                    <m:r>
                      <m:rPr>
                        <m:sty m:val="p"/>
                      </m:rPr>
                      <m:t>−</m:t>
                    </m:r>
                    <m:r>
                      <m:t>C</m:t>
                    </m:r>
                    <m:d>
                      <m:dPr>
                        <m:begChr m:val="("/>
                        <m:endChr m:val=")"/>
                        <m:sepChr m:val=""/>
                        <m:grow/>
                      </m:dPr>
                      <m:e>
                        <m:r>
                          <m:t>ν</m:t>
                        </m:r>
                      </m:e>
                    </m:d>
                    <m:r>
                      <m:t>ν</m:t>
                    </m:r>
                    <m:r>
                      <m:rPr>
                        <m:sty m:val="p"/>
                      </m:rPr>
                      <m:t>−</m:t>
                    </m:r>
                    <m:r>
                      <m:t>D</m:t>
                    </m:r>
                    <m:d>
                      <m:dPr>
                        <m:begChr m:val="("/>
                        <m:endChr m:val=")"/>
                        <m:sepChr m:val=""/>
                        <m:grow/>
                      </m:dPr>
                      <m:e>
                        <m:r>
                          <m:t>ν</m:t>
                        </m:r>
                      </m:e>
                    </m:d>
                    <m:r>
                      <m:t>ν</m:t>
                    </m:r>
                    <m:r>
                      <m:rPr>
                        <m:sty m:val="p"/>
                      </m:rPr>
                      <m:t>+</m:t>
                    </m:r>
                    <m:r>
                      <m:t>τ</m:t>
                    </m:r>
                    <m:r>
                      <m:rPr>
                        <m:sty m:val="p"/>
                      </m:rPr>
                      <m:t>+</m:t>
                    </m:r>
                    <m:sSub>
                      <m:e>
                        <m:r>
                          <m:t>τ</m:t>
                        </m:r>
                      </m:e>
                      <m:sub>
                        <m:r>
                          <m:t>d</m:t>
                        </m:r>
                      </m:sub>
                    </m:sSub>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(2.14)</w:t>
            </w:r>
          </w:p>
        </w:tc>
      </w:tr>
    </w:tbl>
    <w:p>
      <w:pPr>
        <w:pStyle w:val="FirstParagraph"/>
      </w:pPr>
      <w:r>
        <w:t xml:space="preserve">式（2.14）表明，USV速度状态变化率由惯性矩阵、耦合项、阻尼项、控制输入及外部扰动共同决定。在实际控制设计中，一方面希望控制输入 </w:t>
      </w:r>
      <m:oMath>
        <m:r>
          <m:t>τ</m:t>
        </m:r>
      </m:oMath>
      <w:r>
        <w:t xml:space="preserve"> 能够驱动USV稳定跟踪参考轨迹；另一方面又必须面对参数未知、横荡不可控和环境扰动同时存在的问题。因此，本文并不依赖全部水动力参数的精确辨识，而是在保持模型结构清晰的基础上，将难以准确获取的非线性项留待后续模糊逻辑系统在线逼近。</w:t>
      </w:r>
    </w:p>
    <w:p>
      <w:pPr>
        <w:pStyle w:val="BodyText"/>
      </w:pPr>
      <w:r>
        <w:t xml:space="preserve">对于典型的双推进或舵桨式USV而言，纵向推进力主要由螺旋桨产生，艏摇力矩则通常由舵角偏转、双桨差动推力或喷水推进器的偏转效应形成。这意味着即便横荡方向没有直接执行器，USV仍然可以通过调整纵向速度与航向角，在几何上实现横向误差的渐近消除。也正因为如此，轨迹跟踪问题通常比定点镇定问题更适合作为欠驱动USV控制研究的切入点。</w:t>
      </w:r>
    </w:p>
    <w:bookmarkEnd w:id="28"/>
    <w:bookmarkEnd w:id="29"/>
    <w:bookmarkStart w:id="32" w:name="环境干扰与不确定性模型"/>
    <w:p>
      <w:pPr>
        <w:pStyle w:val="Heading2"/>
      </w:pPr>
      <w:r>
        <w:t xml:space="preserve">2.4 环境干扰与不确定性模型</w:t>
      </w:r>
    </w:p>
    <w:bookmarkStart w:id="30" w:name="风浪流综合扰动描述"/>
    <w:p>
      <w:pPr>
        <w:pStyle w:val="Heading3"/>
      </w:pPr>
      <w:r>
        <w:t xml:space="preserve">2.4.1 风浪流综合扰动描述</w:t>
      </w:r>
    </w:p>
    <w:p>
      <w:pPr>
        <w:pStyle w:val="FirstParagraph"/>
      </w:pPr>
      <w:r>
        <w:t xml:space="preserve">USV在海上运行过程中不可避免地受到风、浪、流等环境因素的影响。风场会引入附加气动力和偏航力矩，海浪会导致随机性的姿态扰动和速度波动，海流则会改变USV相对于地面的合成航迹。对于轨迹跟踪控制问题而言，这些环境因素最终表现为作用在纵荡、横荡和艏摇方向上的等效外部扰动，因此可将其统一记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sSub>
                  <m:e>
                    <m:r>
                      <m:t>τ</m:t>
                    </m:r>
                  </m:e>
                  <m:sub>
                    <m:r>
                      <m:t>d</m:t>
                    </m:r>
                  </m:sub>
                </m:sSub>
                <m:r>
                  <m:rPr>
                    <m:sty m:val="p"/>
                  </m:rPr>
                  <m:t>=</m:t>
                </m:r>
                <m:sSup>
                  <m:e>
                    <m:d>
                      <m:dPr>
                        <m:begChr m:val="["/>
                        <m:endChr m:val="]"/>
                        <m:sepChr m:val=""/>
                        <m:grow/>
                      </m:dPr>
                      <m:e>
                        <m:sSub>
                          <m:e>
                            <m:r>
                              <m:t>d</m:t>
                            </m:r>
                          </m:e>
                          <m:sub>
                            <m:r>
                              <m:t>u</m:t>
                            </m:r>
                          </m:sub>
                        </m:sSub>
                        <m:r>
                          <m:rPr>
                            <m:sty m:val="p"/>
                          </m:rPr>
                          <m:t>,</m:t>
                        </m:r>
                        <m:sSub>
                          <m:e>
                            <m:r>
                              <m:t>d</m:t>
                            </m:r>
                          </m:e>
                          <m:sub>
                            <m:r>
                              <m:t>v</m:t>
                            </m:r>
                          </m:sub>
                        </m:sSub>
                        <m:r>
                          <m:rPr>
                            <m:sty m:val="p"/>
                          </m:rPr>
                          <m:t>,</m:t>
                        </m:r>
                        <m:sSub>
                          <m:e>
                            <m:r>
                              <m:t>d</m:t>
                            </m:r>
                          </m:e>
                          <m:sub>
                            <m:r>
                              <m:t>r</m:t>
                            </m:r>
                          </m:sub>
                        </m:sSub>
                      </m:e>
                    </m:d>
                  </m:e>
                  <m:sup>
                    <m:r>
                      <m:t>T</m:t>
                    </m:r>
                  </m:sup>
                </m:sSup>
              </m:oMath>
            </m:oMathPara>
          </w:p>
        </w:tc>
        <w:tc>
          <w:tcPr>
            <w:tcW w:w="1500" w:type="dxa"/>
            <w:tcBorders>
              <w:top w:val="none" w:sz="0" w:space="0" w:color="auto"/>
              <w:left w:val="none" w:sz="0" w:space="0" w:color="auto"/>
              <w:bottom w:val="none" w:sz="0" w:space="0" w:color="auto"/>
              <w:right w:val="none" w:sz="0" w:space="0" w:color="auto"/>
            </w:tcBorders>
          </w:tcPr>
          <w:p>
            <w:pPr>
              <w:jc w:val="right"/>
            </w:pPr>
            <w:r>
              <w:t>(2.15)</w:t>
            </w:r>
          </w:p>
        </w:tc>
      </w:tr>
    </w:tbl>
    <w:p>
      <w:pPr>
        <w:pStyle w:val="FirstParagraph"/>
      </w:pPr>
      <w:r>
        <w:t xml:space="preserve">其中，</w:t>
      </w:r>
      <m:oMath>
        <m:sSub>
          <m:e>
            <m:r>
              <m:t>d</m:t>
            </m:r>
          </m:e>
          <m:sub>
            <m:r>
              <m:t>u</m:t>
            </m:r>
          </m:sub>
        </m:sSub>
      </m:oMath>
      <w:r>
        <w:t xml:space="preserve">、</w:t>
      </w:r>
      <m:oMath>
        <m:sSub>
          <m:e>
            <m:r>
              <m:t>d</m:t>
            </m:r>
          </m:e>
          <m:sub>
            <m:r>
              <m:t>v</m:t>
            </m:r>
          </m:sub>
        </m:sSub>
      </m:oMath>
      <w:r>
        <w:t xml:space="preserve"> 和 </w:t>
      </w:r>
      <m:oMath>
        <m:sSub>
          <m:e>
            <m:r>
              <m:t>d</m:t>
            </m:r>
          </m:e>
          <m:sub>
            <m:r>
              <m:t>r</m:t>
            </m:r>
          </m:sub>
        </m:sSub>
      </m:oMath>
      <w:r>
        <w:t xml:space="preserve"> 分别表示风浪流对纵荡、横荡和艏摇自由度的综合扰动分量。考虑到海洋环境具有明显的随机性和时变性，若直接建立精确的流体解析模型，不仅建模工作量大，而且难以获得与实际工况完全一致的参数。因此，在控制理论研究和仿真实验中，常将风浪流扰动描述为随机有色噪声驱动的缓变过程。</w:t>
      </w:r>
    </w:p>
    <w:p>
      <w:pPr>
        <w:pStyle w:val="BodyText"/>
      </w:pPr>
    </w:p>
    <w:p>
      <w:pPr>
        <w:pStyle w:val="BodyText"/>
      </w:pPr>
      <w:r>
        <w:t xml:space="preserve">图2-5 风浪流对USV作用示意图</w:t>
      </w:r>
    </w:p>
    <w:p>
      <w:pPr>
        <w:pStyle w:val="BodyText"/>
      </w:pPr>
      <w:r>
        <w:t xml:space="preserve">其中，风、流和波浪场分别表示来自大气、海流和海浪的外部环境作用；</w:t>
      </w:r>
      <m:oMath>
        <m:sSub>
          <m:e>
            <m:r>
              <m:t>d</m:t>
            </m:r>
          </m:e>
          <m:sub>
            <m:r>
              <m:t>u</m:t>
            </m:r>
          </m:sub>
        </m:sSub>
      </m:oMath>
      <w:r>
        <w:t xml:space="preserve">、</w:t>
      </w:r>
      <m:oMath>
        <m:sSub>
          <m:e>
            <m:r>
              <m:t>d</m:t>
            </m:r>
          </m:e>
          <m:sub>
            <m:r>
              <m:t>v</m:t>
            </m:r>
          </m:sub>
        </m:sSub>
      </m:oMath>
      <w:r>
        <w:t xml:space="preserve"> 和 </w:t>
      </w:r>
      <m:oMath>
        <m:sSub>
          <m:e>
            <m:r>
              <m:t>d</m:t>
            </m:r>
          </m:e>
          <m:sub>
            <m:r>
              <m:t>r</m:t>
            </m:r>
          </m:sub>
        </m:sSub>
      </m:oMath>
      <w:r>
        <w:t xml:space="preserve"> 分别表示风浪流在纵荡、横荡和艏摇三个自由度上的等效扰动分量；</w:t>
      </w:r>
      <m:oMath>
        <m:sSub>
          <m:e>
            <m:r>
              <m:t>τ</m:t>
            </m:r>
          </m:e>
          <m:sub>
            <m:r>
              <m:t>d</m:t>
            </m:r>
          </m:sub>
        </m:sSub>
        <m:r>
          <m:rPr>
            <m:sty m:val="p"/>
          </m:rPr>
          <m:t>=</m:t>
        </m:r>
        <m:sSup>
          <m:e>
            <m:d>
              <m:dPr>
                <m:begChr m:val="["/>
                <m:endChr m:val="]"/>
                <m:sepChr m:val=""/>
                <m:grow/>
              </m:dPr>
              <m:e>
                <m:sSub>
                  <m:e>
                    <m:r>
                      <m:t>d</m:t>
                    </m:r>
                  </m:e>
                  <m:sub>
                    <m:r>
                      <m:t>u</m:t>
                    </m:r>
                  </m:sub>
                </m:sSub>
                <m:r>
                  <m:rPr>
                    <m:sty m:val="p"/>
                  </m:rPr>
                  <m:t>,</m:t>
                </m:r>
                <m:sSub>
                  <m:e>
                    <m:r>
                      <m:t>d</m:t>
                    </m:r>
                  </m:e>
                  <m:sub>
                    <m:r>
                      <m:t>v</m:t>
                    </m:r>
                  </m:sub>
                </m:sSub>
                <m:r>
                  <m:rPr>
                    <m:sty m:val="p"/>
                  </m:rPr>
                  <m:t>,</m:t>
                </m:r>
                <m:sSub>
                  <m:e>
                    <m:r>
                      <m:t>d</m:t>
                    </m:r>
                  </m:e>
                  <m:sub>
                    <m:r>
                      <m:t>r</m:t>
                    </m:r>
                  </m:sub>
                </m:sSub>
              </m:e>
            </m:d>
          </m:e>
          <m:sup>
            <m:r>
              <m:t>T</m:t>
            </m:r>
          </m:sup>
        </m:sSup>
      </m:oMath>
      <w:r>
        <w:t xml:space="preserve"> 表示统一后的综合扰动向量。图2-5的绘制依据对应于式（2.15）至式（2.19）的扰动建模思想，用于说明复杂海洋环境可在控制设计中归并为作用于三个自由度的总扰动项。</w:t>
      </w:r>
    </w:p>
    <w:bookmarkEnd w:id="30"/>
    <w:bookmarkStart w:id="31" w:name="一阶马尔可夫扰动模型与有界假设"/>
    <w:p>
      <w:pPr>
        <w:pStyle w:val="Heading3"/>
      </w:pPr>
      <w:r>
        <w:t xml:space="preserve">2.4.2 一阶马尔可夫扰动模型与有界假设</w:t>
      </w:r>
    </w:p>
    <w:p>
      <w:pPr>
        <w:pStyle w:val="FirstParagraph"/>
      </w:pPr>
      <w:r>
        <w:t xml:space="preserve">为了在仿真中较真实地再现海洋环境扰动的随机变化特征，本文采用一阶马尔可夫过程对综合扰动进行建模。设扰动内部状态向量为 </w:t>
      </w:r>
      <m:oMath>
        <m:r>
          <m:t>ξ</m:t>
        </m:r>
        <m:d>
          <m:dPr>
            <m:begChr m:val="("/>
            <m:endChr m:val=")"/>
            <m:sepChr m:val=""/>
            <m:grow/>
          </m:dPr>
          <m:e>
            <m:r>
              <m:t>t</m:t>
            </m:r>
          </m:e>
        </m:d>
      </m:oMath>
      <w:r>
        <w:t xml:space="preserve">，则其动态方程可写为：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acc>
                  <m:accPr>
                    <m:chr m:val="̇"/>
                  </m:accPr>
                  <m:e>
                    <m:r>
                      <m:t>ξ</m:t>
                    </m:r>
                  </m:e>
                </m:acc>
                <m:d>
                  <m:dPr>
                    <m:begChr m:val="("/>
                    <m:endChr m:val=")"/>
                    <m:sepChr m:val=""/>
                    <m:grow/>
                  </m:dPr>
                  <m:e>
                    <m:r>
                      <m:t>t</m:t>
                    </m:r>
                  </m:e>
                </m:d>
                <m:r>
                  <m:rPr>
                    <m:sty m:val="p"/>
                  </m:rPr>
                  <m:t>=−</m:t>
                </m:r>
                <m:r>
                  <m:t>Λξ</m:t>
                </m:r>
                <m:d>
                  <m:dPr>
                    <m:begChr m:val="("/>
                    <m:endChr m:val=")"/>
                    <m:sepChr m:val=""/>
                    <m:grow/>
                  </m:dPr>
                  <m:e>
                    <m:r>
                      <m:t>t</m:t>
                    </m:r>
                  </m:e>
                </m:d>
                <m:r>
                  <m:rPr>
                    <m:sty m:val="p"/>
                  </m:rPr>
                  <m:t>+</m:t>
                </m:r>
                <m:r>
                  <m:t>Γw</m:t>
                </m:r>
                <m:d>
                  <m:dPr>
                    <m:begChr m:val="("/>
                    <m:endChr m:val=")"/>
                    <m:sepChr m:val=""/>
                    <m:grow/>
                  </m:dPr>
                  <m:e>
                    <m:r>
                      <m:t>t</m:t>
                    </m:r>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(2.16)</w:t>
            </w:r>
          </w:p>
        </w:tc>
      </w:tr>
    </w:tbl>
    <w:p>
      <w:pPr>
        <w:pStyle w:val="FirstParagraph"/>
      </w:pPr>
      <w:r>
        <w:t xml:space="preserve">其中，</w:t>
      </w:r>
      <m:oMath>
        <m:r>
          <m:t>Λ</m:t>
        </m:r>
      </m:oMath>
      <w:r>
        <w:t xml:space="preserve"> 为对角正定矩阵，用于描述扰动衰减速率，</w:t>
      </w:r>
      <m:oMath>
        <m:r>
          <m:t>Γ</m:t>
        </m:r>
      </m:oMath>
      <w:r>
        <w:t xml:space="preserve"> 为扰动强度矩阵，</w:t>
      </w:r>
      <m:oMath>
        <m:r>
          <m:t>w</m:t>
        </m:r>
        <m:d>
          <m:dPr>
            <m:begChr m:val="("/>
            <m:endChr m:val=")"/>
            <m:sepChr m:val=""/>
            <m:grow/>
          </m:dPr>
          <m:e>
            <m:r>
              <m:t>t</m:t>
            </m:r>
          </m:e>
        </m:d>
      </m:oMath>
      <w:r>
        <w:t xml:space="preserve"> 为均值为零的高斯白噪声。进一步地，可将外部扰动向量表示为：</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sSub>
                  <m:e>
                    <m:r>
                      <m:t>τ</m:t>
                    </m:r>
                  </m:e>
                  <m:sub>
                    <m:r>
                      <m:t>d</m:t>
                    </m:r>
                  </m:sub>
                </m:sSub>
                <m:d>
                  <m:dPr>
                    <m:begChr m:val="("/>
                    <m:endChr m:val=")"/>
                    <m:sepChr m:val=""/>
                    <m:grow/>
                  </m:dPr>
                  <m:e>
                    <m:r>
                      <m:t>t</m:t>
                    </m:r>
                  </m:e>
                </m:d>
                <m:r>
                  <m:rPr>
                    <m:sty m:val="p"/>
                  </m:rPr>
                  <m:t>=</m:t>
                </m:r>
                <m:r>
                  <m:t>Hξ</m:t>
                </m:r>
                <m:d>
                  <m:dPr>
                    <m:begChr m:val="("/>
                    <m:endChr m:val=")"/>
                    <m:sepChr m:val=""/>
                    <m:grow/>
                  </m:dPr>
                  <m:e>
                    <m:r>
                      <m:t>t</m:t>
                    </m:r>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(2.17)</w:t>
            </w:r>
          </w:p>
        </w:tc>
      </w:tr>
    </w:tbl>
    <w:p>
      <w:pPr>
        <w:pStyle w:val="FirstParagraph"/>
      </w:pPr>
      <w:r>
        <w:t xml:space="preserve">其中，</w:t>
      </w:r>
      <m:oMath>
        <m:r>
          <m:t>H</m:t>
        </m:r>
      </m:oMath>
      <w:r>
        <w:t xml:space="preserve"> 为扰动输出矩阵。采用式（2.16）和式（2.17）后，仿真中的风浪流扰动既具有随机性，又具有一定的时间相关性，能够较好反映真实海况中“缓变但连续”的环境作用特点。</w:t>
      </w:r>
    </w:p>
    <w:p>
      <w:pPr>
        <w:pStyle w:val="BodyText"/>
      </w:pPr>
      <w:r>
        <w:t xml:space="preserve">除外部环境扰动外，USV系统还存在参数不确定性、未建模高阶动态以及推进系统效率变化等内部不确定因素。为了便于控制器设计，本文将这类未知因素与环境扰动一起视为总不确定项，并假设其满足有界条件，即：</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rPr>
                    <m:sty m:val="p"/>
                  </m:rPr>
                  <m:t>∥</m:t>
                </m:r>
                <m:sSub>
                  <m:e>
                    <m:r>
                      <m:t>τ</m:t>
                    </m:r>
                  </m:e>
                  <m:sub>
                    <m:r>
                      <m:t>d</m:t>
                    </m:r>
                  </m:sub>
                </m:sSub>
                <m:d>
                  <m:dPr>
                    <m:begChr m:val="("/>
                    <m:endChr m:val=")"/>
                    <m:sepChr m:val=""/>
                    <m:grow/>
                  </m:dPr>
                  <m:e>
                    <m:r>
                      <m:t>t</m:t>
                    </m:r>
                  </m:e>
                </m:d>
                <m:r>
                  <m:rPr>
                    <m:sty m:val="p"/>
                  </m:rPr>
                  <m:t>∥≤</m:t>
                </m:r>
                <m:acc>
                  <m:accPr>
                    <m:chr m:val="‾"/>
                  </m:accPr>
                  <m:e>
                    <m:r>
                      <m:t>d</m:t>
                    </m:r>
                  </m:e>
                </m:acc>
              </m:oMath>
            </m:oMathPara>
          </w:p>
        </w:tc>
        <w:tc>
          <w:tcPr>
            <w:tcW w:w="1500" w:type="dxa"/>
            <w:tcBorders>
              <w:top w:val="none" w:sz="0" w:space="0" w:color="auto"/>
              <w:left w:val="none" w:sz="0" w:space="0" w:color="auto"/>
              <w:bottom w:val="none" w:sz="0" w:space="0" w:color="auto"/>
              <w:right w:val="none" w:sz="0" w:space="0" w:color="auto"/>
            </w:tcBorders>
          </w:tcPr>
          <w:p>
            <w:pPr>
              <w:jc w:val="right"/>
            </w:pPr>
            <w:r>
              <w:t>(2.18)</w:t>
            </w:r>
          </w:p>
        </w:tc>
      </w:tr>
    </w:tbl>
    <w:p>
      <w:pPr>
        <w:pStyle w:val="FirstParagraph"/>
      </w:pPr>
      <w:r>
        <w:t xml:space="preserve">其中，</w:t>
      </w:r>
      <m:oMath>
        <m:acc>
          <m:accPr>
            <m:chr m:val="‾"/>
          </m:accPr>
          <m:e>
            <m:r>
              <m:t>d</m:t>
            </m:r>
          </m:e>
        </m:acc>
      </m:oMath>
      <w:r>
        <w:t xml:space="preserve"> 为未知正常数。基于该假设，可将USV动力学模型进一步整理为适合控制器设计的形式：</w:t>
      </w:r>
    </w:p>
    <w:tbl>
      <w:tblPr>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500"/>
        <w:gridCol w:w="6026"/>
        <w:gridCol w:w="1500"/>
      </w:tblGrid>
      <w:tr>
        <w:tc>
          <w:tcPr>
            <w:tcW w:w="1500" w:type="dxa"/>
            <w:tcBorders>
              <w:top w:val="none" w:sz="0" w:space="0" w:color="auto"/>
              <w:left w:val="none" w:sz="0" w:space="0" w:color="auto"/>
              <w:bottom w:val="none" w:sz="0" w:space="0" w:color="auto"/>
              <w:right w:val="none" w:sz="0" w:space="0" w:color="auto"/>
            </w:tcBorders>
          </w:tcPr>
          <w:p/>
        </w:tc>
        <w:tc>
          <w:tcPr>
            <w:tcW w:w="6026" w:type="dxa"/>
            <w:tcBorders>
              <w:top w:val="none" w:sz="0" w:space="0" w:color="auto"/>
              <w:left w:val="none" w:sz="0" w:space="0" w:color="auto"/>
              <w:bottom w:val="none" w:sz="0" w:space="0" w:color="auto"/>
              <w:right w:val="none" w:sz="0" w:space="0" w:color="auto"/>
            </w:tcBorders>
          </w:tcPr>
          <w:p>
            <w:pPr>
              <w:pStyle w:val="BodyText"/>
              <w:jc w:val="center"/>
            </w:pPr>
            <m:oMathPara>
              <m:oMathParaPr>
                <m:jc m:val="center"/>
              </m:oMathParaPr>
              <m:oMath>
                <m:r>
                  <m:t>M</m:t>
                </m:r>
                <m:acc>
                  <m:accPr>
                    <m:chr m:val="̇"/>
                  </m:accPr>
                  <m:e>
                    <m:r>
                      <m:t>ν</m:t>
                    </m:r>
                  </m:e>
                </m:acc>
                <m:r>
                  <m:rPr>
                    <m:sty m:val="p"/>
                  </m:rPr>
                  <m:t>+</m:t>
                </m:r>
                <m:r>
                  <m:t>C</m:t>
                </m:r>
                <m:d>
                  <m:dPr>
                    <m:begChr m:val="("/>
                    <m:endChr m:val=")"/>
                    <m:sepChr m:val=""/>
                    <m:grow/>
                  </m:dPr>
                  <m:e>
                    <m:r>
                      <m:t>ν</m:t>
                    </m:r>
                  </m:e>
                </m:d>
                <m:r>
                  <m:t>ν</m:t>
                </m:r>
                <m:r>
                  <m:rPr>
                    <m:sty m:val="p"/>
                  </m:rPr>
                  <m:t>+</m:t>
                </m:r>
                <m:r>
                  <m:t>D</m:t>
                </m:r>
                <m:d>
                  <m:dPr>
                    <m:begChr m:val="("/>
                    <m:endChr m:val=")"/>
                    <m:sepChr m:val=""/>
                    <m:grow/>
                  </m:dPr>
                  <m:e>
                    <m:r>
                      <m:t>ν</m:t>
                    </m:r>
                  </m:e>
                </m:d>
                <m:r>
                  <m:t>ν</m:t>
                </m:r>
                <m:r>
                  <m:rPr>
                    <m:sty m:val="p"/>
                  </m:rPr>
                  <m:t>=</m:t>
                </m:r>
                <m:r>
                  <m:t>τ</m:t>
                </m:r>
                <m:r>
                  <m:rPr>
                    <m:sty m:val="p"/>
                  </m:rPr>
                  <m:t>+</m:t>
                </m:r>
                <m:r>
                  <m:t>Δ</m:t>
                </m:r>
                <m:d>
                  <m:dPr>
                    <m:begChr m:val="("/>
                    <m:endChr m:val=")"/>
                    <m:sepChr m:val=""/>
                    <m:grow/>
                  </m:dPr>
                  <m:e>
                    <m:r>
                      <m:t>ν</m:t>
                    </m:r>
                    <m:r>
                      <m:rPr>
                        <m:sty m:val="p"/>
                      </m:rPr>
                      <m:t>,</m:t>
                    </m:r>
                    <m:r>
                      <m:t>t</m:t>
                    </m:r>
                  </m:e>
                </m:d>
              </m:oMath>
            </m:oMathPara>
          </w:p>
        </w:tc>
        <w:tc>
          <w:tcPr>
            <w:tcW w:w="1500" w:type="dxa"/>
            <w:tcBorders>
              <w:top w:val="none" w:sz="0" w:space="0" w:color="auto"/>
              <w:left w:val="none" w:sz="0" w:space="0" w:color="auto"/>
              <w:bottom w:val="none" w:sz="0" w:space="0" w:color="auto"/>
              <w:right w:val="none" w:sz="0" w:space="0" w:color="auto"/>
            </w:tcBorders>
          </w:tcPr>
          <w:p>
            <w:pPr>
              <w:jc w:val="right"/>
            </w:pPr>
            <w:r>
              <w:t>(2.19)</w:t>
            </w:r>
          </w:p>
        </w:tc>
      </w:tr>
    </w:tbl>
    <w:p>
      <w:pPr>
        <w:pStyle w:val="FirstParagraph"/>
      </w:pPr>
      <w:r>
        <w:t xml:space="preserve">其中，</w:t>
      </w:r>
      <m:oMath>
        <m:r>
          <m:t>Δ</m:t>
        </m:r>
        <m:d>
          <m:dPr>
            <m:begChr m:val="("/>
            <m:endChr m:val=")"/>
            <m:sepChr m:val=""/>
            <m:grow/>
          </m:dPr>
          <m:e>
            <m:r>
              <m:t>ν</m:t>
            </m:r>
            <m:r>
              <m:rPr>
                <m:sty m:val="p"/>
              </m:rPr>
              <m:t>,</m:t>
            </m:r>
            <m:r>
              <m:t>t</m:t>
            </m:r>
          </m:e>
        </m:d>
      </m:oMath>
      <w:r>
        <w:t xml:space="preserve"> 表示包含环境干扰、参数摄动与未建模动态在内的总不确定项。式（2.19）为后续模糊自适应控制器设计提供了直接的数学基础：一方面保留了USV动力学的主要结构信息，另一方面又为未知非线性项的近似和补偿留出了统一接口。下一章将在此基础上构造虚拟控制量、模糊逼近器及自适应律，并利用Lyapunov方法证明闭环系统的一致最终有界性。</w:t>
      </w:r>
    </w:p>
    <w:bookmarkEnd w:id="31"/>
    <w:bookmarkEnd w:id="32"/>
    <w:bookmarkStart w:id="33" w:name="本章小结"/>
    <w:p>
      <w:pPr>
        <w:pStyle w:val="Heading2"/>
      </w:pPr>
      <w:r>
        <w:t xml:space="preserve">2.5 本章小结</w:t>
      </w:r>
    </w:p>
    <w:p>
      <w:pPr>
        <w:pStyle w:val="FirstParagraph"/>
      </w:pPr>
      <w:r>
        <w:t xml:space="preserve">本章围绕欠驱动USV轨迹跟踪控制问题，建立了后续控制器设计所需的三自由度数学模型。首先，通过建立地固坐标系和体固坐标系，定义了USV的位姿变量和速度变量，并给出了两类坐标系之间的旋转变换关系。在此基础上，推导了USV三自由度运动学方程和体固坐标系下的跟踪误差表达式，为后续轨迹跟踪控制律构造奠定了运动学基础。</w:t>
      </w:r>
    </w:p>
    <w:p>
      <w:pPr>
        <w:pStyle w:val="BodyText"/>
      </w:pPr>
      <w:r>
        <w:t xml:space="preserve">随后，基于Fossen三自由度建模框架，给出了包含惯性矩阵、科氏力矩阵和非线性阻尼项的USV动力学模型，分析了欠驱动结构下纵荡、横荡和艏摇之间的耦合关系。进一步地，针对风、浪、流引起的环境作用，建立了综合扰动向量和一阶马尔可夫过程模型，并将参数不确定性与未建模动态统一归入总不确定项中处理。最终得到的控制导向模型兼顾了物理合理性与理论分析便利性，可为下一章模糊自适应轨迹跟踪控制器的设计与稳定性证明提供直接依据。</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2026-03-11T08:18:54Z</dcterms:created>
  <dcterms:modified xsi:type="dcterms:W3CDTF">2026-03-11T08:18:54Z</dcterms:modified>
</cp:coreProperties>
</file>

<file path=docProps/custom.xml><?xml version="1.0" encoding="utf-8"?>
<Properties xmlns="http://schemas.openxmlformats.org/officeDocument/2006/custom-properties" xmlns:vt="http://schemas.openxmlformats.org/officeDocument/2006/docPropsVTypes"/>
</file>