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2B47" w:rsidRPr="006F5659" w:rsidRDefault="006F5659" w:rsidP="00BB2B47">
      <w:pPr>
        <w:spacing w:after="0" w:line="240" w:lineRule="auto"/>
        <w:rPr>
          <w:rFonts w:ascii="inherit" w:eastAsia="Times New Roman" w:hAnsi="inherit" w:cs="Tahoma"/>
          <w:sz w:val="36"/>
          <w:szCs w:val="36"/>
        </w:rPr>
      </w:pPr>
      <w:r>
        <w:rPr>
          <w:rFonts w:ascii="inherit" w:eastAsia="Times New Roman" w:hAnsi="inherit" w:cs="Tahoma" w:hint="cs"/>
          <w:sz w:val="24"/>
          <w:szCs w:val="24"/>
          <w:cs/>
        </w:rPr>
        <w:t xml:space="preserve">                              </w:t>
      </w:r>
      <w:r w:rsidRPr="006F5659">
        <w:rPr>
          <w:rFonts w:ascii="inherit" w:eastAsia="Times New Roman" w:hAnsi="inherit" w:cs="Tahoma" w:hint="cs"/>
          <w:sz w:val="36"/>
          <w:szCs w:val="36"/>
          <w:cs/>
        </w:rPr>
        <w:t>หลักการ</w:t>
      </w:r>
      <w:r w:rsidR="00BB2B47" w:rsidRPr="006F5659">
        <w:rPr>
          <w:rFonts w:ascii="inherit" w:eastAsia="Times New Roman" w:hAnsi="inherit" w:cs="Tahoma"/>
          <w:sz w:val="36"/>
          <w:szCs w:val="36"/>
          <w:cs/>
        </w:rPr>
        <w:t>ค้ำประกั</w:t>
      </w:r>
      <w:r w:rsidRPr="006F5659">
        <w:rPr>
          <w:rFonts w:ascii="inherit" w:eastAsia="Times New Roman" w:hAnsi="inherit" w:cs="Tahoma"/>
          <w:sz w:val="36"/>
          <w:szCs w:val="36"/>
          <w:cs/>
        </w:rPr>
        <w:t xml:space="preserve">นบุคคลเข้าทำงาน </w:t>
      </w:r>
    </w:p>
    <w:p w:rsidR="006F5659" w:rsidRPr="00BB2B47" w:rsidRDefault="006F5659" w:rsidP="00BB2B47">
      <w:pPr>
        <w:spacing w:after="0" w:line="240" w:lineRule="auto"/>
        <w:rPr>
          <w:rFonts w:ascii="inherit" w:eastAsia="Times New Roman" w:hAnsi="inherit" w:cs="Tahoma"/>
          <w:sz w:val="24"/>
          <w:szCs w:val="24"/>
        </w:rPr>
      </w:pPr>
    </w:p>
    <w:p w:rsidR="00BB2B47" w:rsidRPr="00BB2B47" w:rsidRDefault="00BB2B47" w:rsidP="00BB2B47">
      <w:pPr>
        <w:spacing w:after="0" w:line="240" w:lineRule="auto"/>
        <w:rPr>
          <w:rFonts w:ascii="inherit" w:eastAsia="Times New Roman" w:hAnsi="inherit" w:cs="Tahoma"/>
          <w:sz w:val="24"/>
          <w:szCs w:val="24"/>
        </w:rPr>
      </w:pPr>
      <w:r w:rsidRPr="00BB2B47">
        <w:rPr>
          <w:rFonts w:ascii="inherit" w:eastAsia="Times New Roman" w:hAnsi="inherit" w:cs="Tahoma"/>
          <w:sz w:val="24"/>
          <w:szCs w:val="24"/>
          <w:cs/>
        </w:rPr>
        <w:t>การค้ำประกันบุคคลเข้าทำงาน เป็นการยืนยันต่อนายจ้างว่า บุคคลที่กำลังจะเข้าทำงานนั้น เป็นคนดี มีความรับผิดชอบต่อหน้าที่ ไม่โกง ไม่ทุจริต แต่หากมีความเสียหายเกิดขึ้นเกี่ยวกับตำแหน่งหน้าที่การงานดังกล่าว ผู้ค้ำประกันยินดีชดใช้ค่าเสียหายแทนบุคคลนั้น</w:t>
      </w:r>
      <w:r w:rsidRPr="00BB2B47">
        <w:rPr>
          <w:rFonts w:ascii="inherit" w:eastAsia="Times New Roman" w:hAnsi="inherit" w:cs="Tahoma"/>
          <w:sz w:val="24"/>
          <w:szCs w:val="24"/>
        </w:rPr>
        <w:t xml:space="preserve"> </w:t>
      </w:r>
    </w:p>
    <w:p w:rsidR="00BB2B47" w:rsidRPr="00BB2B47" w:rsidRDefault="00BB2B47" w:rsidP="00BB2B47">
      <w:pPr>
        <w:spacing w:after="0" w:line="240" w:lineRule="auto"/>
        <w:rPr>
          <w:rFonts w:ascii="inherit" w:eastAsia="Times New Roman" w:hAnsi="inherit" w:cs="Tahoma"/>
          <w:sz w:val="24"/>
          <w:szCs w:val="24"/>
        </w:rPr>
      </w:pPr>
      <w:r w:rsidRPr="00BB2B47">
        <w:rPr>
          <w:rFonts w:ascii="inherit" w:eastAsia="Times New Roman" w:hAnsi="inherit" w:cs="Tahoma"/>
          <w:sz w:val="24"/>
          <w:szCs w:val="24"/>
          <w:cs/>
        </w:rPr>
        <w:t xml:space="preserve">งานประเภทใดบ้างที่ นายจ้างสามารถเรียกเงินประกันหรือรับหลักประกันการทำงานได้ ซึ่งตามพระราชบัญญัติคุ้มครองแรงงาน ปี </w:t>
      </w:r>
      <w:r w:rsidRPr="00BB2B47">
        <w:rPr>
          <w:rFonts w:ascii="inherit" w:eastAsia="Times New Roman" w:hAnsi="inherit" w:cs="Tahoma"/>
          <w:sz w:val="24"/>
          <w:szCs w:val="24"/>
        </w:rPr>
        <w:t xml:space="preserve">2541 </w:t>
      </w:r>
      <w:r w:rsidRPr="00BB2B47">
        <w:rPr>
          <w:rFonts w:ascii="inherit" w:eastAsia="Times New Roman" w:hAnsi="inherit" w:cs="Tahoma"/>
          <w:sz w:val="24"/>
          <w:szCs w:val="24"/>
          <w:cs/>
        </w:rPr>
        <w:t xml:space="preserve">มาตรา </w:t>
      </w:r>
      <w:r w:rsidRPr="00BB2B47">
        <w:rPr>
          <w:rFonts w:ascii="inherit" w:eastAsia="Times New Roman" w:hAnsi="inherit" w:cs="Tahoma"/>
          <w:sz w:val="24"/>
          <w:szCs w:val="24"/>
        </w:rPr>
        <w:t xml:space="preserve">10 </w:t>
      </w:r>
      <w:r w:rsidRPr="00BB2B47">
        <w:rPr>
          <w:rFonts w:ascii="inherit" w:eastAsia="Times New Roman" w:hAnsi="inherit" w:cs="Tahoma"/>
          <w:sz w:val="24"/>
          <w:szCs w:val="24"/>
          <w:cs/>
        </w:rPr>
        <w:t>ประกอบกับหลักเกณฑ์และวิธีการที่รัฐมนตรีประกาศกำหนดให้งานดังต่อไปนี้นายจ้างสามารถเรียกหลักประกัน เพื่อประกันความเสียหายหรือการค้ำประกันโดยบุคคลได้</w:t>
      </w:r>
      <w:r w:rsidRPr="00BB2B47">
        <w:rPr>
          <w:rFonts w:ascii="inherit" w:eastAsia="Times New Roman" w:hAnsi="inherit" w:cs="Tahoma"/>
          <w:sz w:val="24"/>
          <w:szCs w:val="24"/>
        </w:rPr>
        <w:t xml:space="preserve"> </w:t>
      </w:r>
    </w:p>
    <w:p w:rsidR="00BB2B47" w:rsidRPr="00BB2B47" w:rsidRDefault="00BB2B47" w:rsidP="00BB2B47">
      <w:pPr>
        <w:spacing w:after="0" w:line="240" w:lineRule="auto"/>
        <w:rPr>
          <w:rFonts w:ascii="inherit" w:eastAsia="Times New Roman" w:hAnsi="inherit" w:cs="Tahoma"/>
          <w:sz w:val="24"/>
          <w:szCs w:val="24"/>
        </w:rPr>
      </w:pPr>
      <w:r w:rsidRPr="00BB2B47">
        <w:rPr>
          <w:rFonts w:ascii="inherit" w:eastAsia="Times New Roman" w:hAnsi="inherit" w:cs="Tahoma"/>
          <w:sz w:val="24"/>
          <w:szCs w:val="24"/>
        </w:rPr>
        <w:t xml:space="preserve">(1) </w:t>
      </w:r>
      <w:r w:rsidRPr="00BB2B47">
        <w:rPr>
          <w:rFonts w:ascii="inherit" w:eastAsia="Times New Roman" w:hAnsi="inherit" w:cs="Tahoma"/>
          <w:sz w:val="24"/>
          <w:szCs w:val="24"/>
          <w:cs/>
        </w:rPr>
        <w:t>งานสมุห์บัญชี</w:t>
      </w:r>
    </w:p>
    <w:p w:rsidR="00BB2B47" w:rsidRPr="00BB2B47" w:rsidRDefault="00BB2B47" w:rsidP="00BB2B47">
      <w:pPr>
        <w:spacing w:after="0" w:line="240" w:lineRule="auto"/>
        <w:rPr>
          <w:rFonts w:ascii="inherit" w:eastAsia="Times New Roman" w:hAnsi="inherit" w:cs="Tahoma"/>
          <w:sz w:val="24"/>
          <w:szCs w:val="24"/>
        </w:rPr>
      </w:pPr>
      <w:r w:rsidRPr="00BB2B47">
        <w:rPr>
          <w:rFonts w:ascii="inherit" w:eastAsia="Times New Roman" w:hAnsi="inherit" w:cs="Tahoma"/>
          <w:sz w:val="24"/>
          <w:szCs w:val="24"/>
        </w:rPr>
        <w:t xml:space="preserve">(2) </w:t>
      </w:r>
      <w:r w:rsidRPr="00BB2B47">
        <w:rPr>
          <w:rFonts w:ascii="inherit" w:eastAsia="Times New Roman" w:hAnsi="inherit" w:cs="Tahoma"/>
          <w:sz w:val="24"/>
          <w:szCs w:val="24"/>
          <w:cs/>
        </w:rPr>
        <w:t>งานพนักงานเก็บหรือจ่ายเงิน</w:t>
      </w:r>
    </w:p>
    <w:p w:rsidR="00BB2B47" w:rsidRPr="00BB2B47" w:rsidRDefault="00BB2B47" w:rsidP="00BB2B47">
      <w:pPr>
        <w:spacing w:after="0" w:line="240" w:lineRule="auto"/>
        <w:rPr>
          <w:rFonts w:ascii="inherit" w:eastAsia="Times New Roman" w:hAnsi="inherit" w:cs="Tahoma"/>
          <w:sz w:val="24"/>
          <w:szCs w:val="24"/>
        </w:rPr>
      </w:pPr>
      <w:r w:rsidRPr="00BB2B47">
        <w:rPr>
          <w:rFonts w:ascii="inherit" w:eastAsia="Times New Roman" w:hAnsi="inherit" w:cs="Tahoma"/>
          <w:sz w:val="24"/>
          <w:szCs w:val="24"/>
        </w:rPr>
        <w:t xml:space="preserve">(3) </w:t>
      </w:r>
      <w:r w:rsidRPr="00BB2B47">
        <w:rPr>
          <w:rFonts w:ascii="inherit" w:eastAsia="Times New Roman" w:hAnsi="inherit" w:cs="Tahoma"/>
          <w:sz w:val="24"/>
          <w:szCs w:val="24"/>
          <w:cs/>
        </w:rPr>
        <w:t>งานควบคุมหรือรับผิดชอบเกี่ยวกับวัตถุมีค่า คือ เพชร พลอย เงิน ทองคำ ทองคำขาวและไข่มุก</w:t>
      </w:r>
    </w:p>
    <w:p w:rsidR="00BB2B47" w:rsidRPr="00BB2B47" w:rsidRDefault="00BB2B47" w:rsidP="00BB2B47">
      <w:pPr>
        <w:spacing w:after="0" w:line="240" w:lineRule="auto"/>
        <w:rPr>
          <w:rFonts w:ascii="inherit" w:eastAsia="Times New Roman" w:hAnsi="inherit" w:cs="Tahoma"/>
          <w:sz w:val="24"/>
          <w:szCs w:val="24"/>
        </w:rPr>
      </w:pPr>
      <w:r w:rsidRPr="00BB2B47">
        <w:rPr>
          <w:rFonts w:ascii="inherit" w:eastAsia="Times New Roman" w:hAnsi="inherit" w:cs="Tahoma"/>
          <w:sz w:val="24"/>
          <w:szCs w:val="24"/>
        </w:rPr>
        <w:t xml:space="preserve">(4) </w:t>
      </w:r>
      <w:r w:rsidRPr="00BB2B47">
        <w:rPr>
          <w:rFonts w:ascii="inherit" w:eastAsia="Times New Roman" w:hAnsi="inherit" w:cs="Tahoma"/>
          <w:sz w:val="24"/>
          <w:szCs w:val="24"/>
          <w:cs/>
        </w:rPr>
        <w:t>งานเฝ้าหรือดูแลสถานที่หรือทรัพย์สินของนายจ้าง หรือที่อยู่ในความรับผิดชอบของนายจ้าง</w:t>
      </w:r>
    </w:p>
    <w:p w:rsidR="00BB2B47" w:rsidRPr="00BB2B47" w:rsidRDefault="00BB2B47" w:rsidP="00BB2B47">
      <w:pPr>
        <w:spacing w:after="0" w:line="240" w:lineRule="auto"/>
        <w:rPr>
          <w:rFonts w:ascii="inherit" w:eastAsia="Times New Roman" w:hAnsi="inherit" w:cs="Tahoma"/>
          <w:sz w:val="24"/>
          <w:szCs w:val="24"/>
        </w:rPr>
      </w:pPr>
      <w:r w:rsidRPr="00BB2B47">
        <w:rPr>
          <w:rFonts w:ascii="inherit" w:eastAsia="Times New Roman" w:hAnsi="inherit" w:cs="Tahoma"/>
          <w:sz w:val="24"/>
          <w:szCs w:val="24"/>
        </w:rPr>
        <w:t xml:space="preserve">(5) </w:t>
      </w:r>
      <w:r w:rsidRPr="00BB2B47">
        <w:rPr>
          <w:rFonts w:ascii="inherit" w:eastAsia="Times New Roman" w:hAnsi="inherit" w:cs="Tahoma"/>
          <w:sz w:val="24"/>
          <w:szCs w:val="24"/>
          <w:cs/>
        </w:rPr>
        <w:t>งานติดตามหรือเร่งรัดหนี้สิน</w:t>
      </w:r>
    </w:p>
    <w:p w:rsidR="00BB2B47" w:rsidRPr="00BB2B47" w:rsidRDefault="00BB2B47" w:rsidP="00BB2B47">
      <w:pPr>
        <w:spacing w:after="0" w:line="240" w:lineRule="auto"/>
        <w:rPr>
          <w:rFonts w:ascii="inherit" w:eastAsia="Times New Roman" w:hAnsi="inherit" w:cs="Tahoma"/>
          <w:sz w:val="24"/>
          <w:szCs w:val="24"/>
        </w:rPr>
      </w:pPr>
      <w:r w:rsidRPr="00BB2B47">
        <w:rPr>
          <w:rFonts w:ascii="inherit" w:eastAsia="Times New Roman" w:hAnsi="inherit" w:cs="Tahoma"/>
          <w:sz w:val="24"/>
          <w:szCs w:val="24"/>
        </w:rPr>
        <w:t xml:space="preserve">(6) </w:t>
      </w:r>
      <w:r w:rsidRPr="00BB2B47">
        <w:rPr>
          <w:rFonts w:ascii="inherit" w:eastAsia="Times New Roman" w:hAnsi="inherit" w:cs="Tahoma"/>
          <w:sz w:val="24"/>
          <w:szCs w:val="24"/>
          <w:cs/>
        </w:rPr>
        <w:t>งานควบคุมหรือรับผิดชอบยานพาหนะ</w:t>
      </w:r>
    </w:p>
    <w:p w:rsidR="00BB2B47" w:rsidRPr="00BB2B47" w:rsidRDefault="00BB2B47" w:rsidP="00BB2B47">
      <w:pPr>
        <w:spacing w:after="0" w:line="240" w:lineRule="auto"/>
        <w:rPr>
          <w:rFonts w:ascii="inherit" w:eastAsia="Times New Roman" w:hAnsi="inherit" w:cs="Tahoma"/>
          <w:sz w:val="24"/>
          <w:szCs w:val="24"/>
        </w:rPr>
      </w:pPr>
      <w:r w:rsidRPr="00BB2B47">
        <w:rPr>
          <w:rFonts w:ascii="inherit" w:eastAsia="Times New Roman" w:hAnsi="inherit" w:cs="Tahoma"/>
          <w:sz w:val="24"/>
          <w:szCs w:val="24"/>
        </w:rPr>
        <w:t xml:space="preserve">(7) </w:t>
      </w:r>
      <w:r w:rsidRPr="00BB2B47">
        <w:rPr>
          <w:rFonts w:ascii="inherit" w:eastAsia="Times New Roman" w:hAnsi="inherit" w:cs="Tahoma"/>
          <w:sz w:val="24"/>
          <w:szCs w:val="24"/>
          <w:cs/>
        </w:rPr>
        <w:t>งานที่มีหน้าที่รับผิดชอบเกี่ยวกับการคลังสินค้า ซื้อขาย แลกเปลี่ยน ให้เช่าทรัพย์ ให้เช่าซื้อ ให้กู้ยืม รับฝากทรัพย์ รับจำนอง รับจำนำ รับประกันภัย รับโอนหรือรับจัดส่งเงินหรือการธนาคาร ทั้งนี้ เฉพาะลูกจ้างซึ่งเป็นผู้ควบคุมเงินหรือทรัพย์สินเพื่อการที่ว่านั้น</w:t>
      </w:r>
    </w:p>
    <w:p w:rsidR="00BB2B47" w:rsidRPr="00BB2B47" w:rsidRDefault="00BB2B47" w:rsidP="00BB2B47">
      <w:pPr>
        <w:spacing w:after="0" w:line="240" w:lineRule="auto"/>
        <w:rPr>
          <w:rFonts w:ascii="inherit" w:eastAsia="Times New Roman" w:hAnsi="inherit" w:cs="Tahoma"/>
          <w:sz w:val="24"/>
          <w:szCs w:val="24"/>
        </w:rPr>
      </w:pPr>
      <w:r w:rsidRPr="00BB2B47">
        <w:rPr>
          <w:rFonts w:ascii="inherit" w:eastAsia="Times New Roman" w:hAnsi="inherit" w:cs="Tahoma"/>
          <w:sz w:val="24"/>
          <w:szCs w:val="24"/>
          <w:cs/>
        </w:rPr>
        <w:t>หากเป็นลักษณะงานที่นอกเหนือจากที่กำหนดไว้ข้างต้นนั้น นายจ้างไม่สามารถเรียกหลักประกัน เพื่อประกันความเสียหาย หรือการค้ำประกันโดยบุคคลได้ครับ</w:t>
      </w:r>
    </w:p>
    <w:p w:rsidR="00BB2B47" w:rsidRPr="00BB2B47" w:rsidRDefault="00BB2B47" w:rsidP="00BB2B47">
      <w:pPr>
        <w:spacing w:after="0" w:line="240" w:lineRule="auto"/>
        <w:rPr>
          <w:rFonts w:ascii="inherit" w:eastAsia="Times New Roman" w:hAnsi="inherit" w:cs="Tahoma"/>
          <w:sz w:val="24"/>
          <w:szCs w:val="24"/>
        </w:rPr>
      </w:pPr>
      <w:r w:rsidRPr="00BB2B47">
        <w:rPr>
          <w:rFonts w:ascii="inherit" w:eastAsia="Times New Roman" w:hAnsi="inherit" w:cs="Tahoma"/>
          <w:sz w:val="24"/>
          <w:szCs w:val="24"/>
          <w:cs/>
        </w:rPr>
        <w:t xml:space="preserve">ทั้งนี้ แม้นายจ้างจะมีสิทธิ์เรียกหลักประกันหรือรับหลักประกัน หรือจัดให้มีบุคคลค้ำประกันได้ก็ตาม นายจ้างสามารถเรียกหลักประกันเงินสด หลักประกันอื่นๆ หรือกำหนดให้บุคคลค้ำประกัน ได้ไม่เกิน </w:t>
      </w:r>
      <w:r w:rsidRPr="00BB2B47">
        <w:rPr>
          <w:rFonts w:ascii="inherit" w:eastAsia="Times New Roman" w:hAnsi="inherit" w:cs="Tahoma"/>
          <w:sz w:val="24"/>
          <w:szCs w:val="24"/>
        </w:rPr>
        <w:t xml:space="preserve">60 </w:t>
      </w:r>
      <w:r w:rsidRPr="00BB2B47">
        <w:rPr>
          <w:rFonts w:ascii="inherit" w:eastAsia="Times New Roman" w:hAnsi="inherit" w:cs="Tahoma"/>
          <w:sz w:val="24"/>
          <w:szCs w:val="24"/>
          <w:cs/>
        </w:rPr>
        <w:t>เท่า ของอัตราค่าจ้างรายวัน โดยเฉลี่ยที่ลูกจ้างได้รับเท่านั้นครับ จะเรียกเอามากกว่านี้ไม่ได้ครับ</w:t>
      </w:r>
    </w:p>
    <w:p w:rsidR="00BB2B47" w:rsidRPr="00BB2B47" w:rsidRDefault="00BB2B47" w:rsidP="00BB2B47">
      <w:pPr>
        <w:spacing w:after="0" w:line="240" w:lineRule="auto"/>
        <w:rPr>
          <w:rFonts w:ascii="inherit" w:eastAsia="Times New Roman" w:hAnsi="inherit" w:cs="Tahoma"/>
          <w:sz w:val="24"/>
          <w:szCs w:val="24"/>
        </w:rPr>
      </w:pPr>
      <w:r w:rsidRPr="00BB2B47">
        <w:rPr>
          <w:rFonts w:ascii="inherit" w:eastAsia="Times New Roman" w:hAnsi="inherit" w:cs="Tahoma"/>
          <w:sz w:val="24"/>
          <w:szCs w:val="24"/>
          <w:cs/>
        </w:rPr>
        <w:t>ประการสำคัญ หากสัญญาค้ำประกันทำงาน กำหนดให้ผู้ค้ำรับผิดชดใช้ค่าเสียหายโดยไม่จำกัดวงเงิน จะมีผลอย่างไร</w:t>
      </w:r>
    </w:p>
    <w:p w:rsidR="00BB2B47" w:rsidRPr="00BB2B47" w:rsidRDefault="00BB2B47" w:rsidP="00BB2B47">
      <w:pPr>
        <w:spacing w:after="0" w:line="240" w:lineRule="auto"/>
        <w:rPr>
          <w:rFonts w:ascii="inherit" w:eastAsia="Times New Roman" w:hAnsi="inherit" w:cs="Tahoma"/>
          <w:sz w:val="24"/>
          <w:szCs w:val="24"/>
        </w:rPr>
      </w:pPr>
      <w:r w:rsidRPr="00BB2B47">
        <w:rPr>
          <w:rFonts w:ascii="inherit" w:eastAsia="Times New Roman" w:hAnsi="inherit" w:cs="Tahoma"/>
          <w:sz w:val="24"/>
          <w:szCs w:val="24"/>
          <w:cs/>
        </w:rPr>
        <w:t xml:space="preserve">ตามคำพิพากษาฎีกาที่ </w:t>
      </w:r>
      <w:r w:rsidRPr="00BB2B47">
        <w:rPr>
          <w:rFonts w:ascii="inherit" w:eastAsia="Times New Roman" w:hAnsi="inherit" w:cs="Tahoma"/>
          <w:sz w:val="24"/>
          <w:szCs w:val="24"/>
        </w:rPr>
        <w:t>354/2561</w:t>
      </w:r>
    </w:p>
    <w:p w:rsidR="00BB2B47" w:rsidRPr="00BB2B47" w:rsidRDefault="00BB2B47" w:rsidP="00BB2B47">
      <w:pPr>
        <w:spacing w:after="0" w:line="240" w:lineRule="auto"/>
        <w:rPr>
          <w:rFonts w:ascii="inherit" w:eastAsia="Times New Roman" w:hAnsi="inherit" w:cs="Tahoma"/>
          <w:sz w:val="24"/>
          <w:szCs w:val="24"/>
        </w:rPr>
      </w:pPr>
      <w:r w:rsidRPr="00BB2B47">
        <w:rPr>
          <w:rFonts w:ascii="inherit" w:eastAsia="Times New Roman" w:hAnsi="inherit" w:cs="Tahoma"/>
          <w:sz w:val="24"/>
          <w:szCs w:val="24"/>
          <w:cs/>
        </w:rPr>
        <w:t xml:space="preserve">สัญญาค้ำประกันการทำงานของลูกจ้าง โดยกำหนดให้คนค้ำประกันยอมรับผิดชดใช้หนี้สินและความเสียหายแก่ผู้ว่าจ้างหรือนายจ้าง กรณีที่ลูกจ้างได้ก่อให้เกิดความเสียหายแก่นายจ้าง นั้น เป็นการกำหนดความรับผิดของผู้ค้ำประกันโดยไม่จำกัดวงเงิน จึงเป็นการที่นายจ้างเรียกหรือรับหลักประกันโดยการค้ำด้วยบุคคลเป็นวงเงินเกินกว่า </w:t>
      </w:r>
      <w:r w:rsidRPr="00BB2B47">
        <w:rPr>
          <w:rFonts w:ascii="inherit" w:eastAsia="Times New Roman" w:hAnsi="inherit" w:cs="Tahoma"/>
          <w:sz w:val="24"/>
          <w:szCs w:val="24"/>
        </w:rPr>
        <w:t xml:space="preserve">60 </w:t>
      </w:r>
      <w:r w:rsidRPr="00BB2B47">
        <w:rPr>
          <w:rFonts w:ascii="inherit" w:eastAsia="Times New Roman" w:hAnsi="inherit" w:cs="Tahoma"/>
          <w:sz w:val="24"/>
          <w:szCs w:val="24"/>
          <w:cs/>
        </w:rPr>
        <w:t>เท่าของอัตราค่าจ้างรายวัน อันเป็นการฝ่าฝืน ประกาศกระทรวงแรงงาน เรื่องหลักเกณฑ์และวิธีการเรียกหรือรับหลักประกันการทำงานหรือหลักประกันความเสียหายในการทำงานจากลูกจ้าง พ.ศ.</w:t>
      </w:r>
      <w:r w:rsidRPr="00BB2B47">
        <w:rPr>
          <w:rFonts w:ascii="inherit" w:eastAsia="Times New Roman" w:hAnsi="inherit" w:cs="Tahoma"/>
          <w:sz w:val="24"/>
          <w:szCs w:val="24"/>
        </w:rPr>
        <w:t xml:space="preserve">2551 </w:t>
      </w:r>
      <w:r w:rsidRPr="00BB2B47">
        <w:rPr>
          <w:rFonts w:ascii="inherit" w:eastAsia="Times New Roman" w:hAnsi="inherit" w:cs="Tahoma"/>
          <w:sz w:val="24"/>
          <w:szCs w:val="24"/>
          <w:cs/>
        </w:rPr>
        <w:t xml:space="preserve">ออกตาม มาตรา </w:t>
      </w:r>
      <w:r w:rsidRPr="00BB2B47">
        <w:rPr>
          <w:rFonts w:ascii="inherit" w:eastAsia="Times New Roman" w:hAnsi="inherit" w:cs="Tahoma"/>
          <w:sz w:val="24"/>
          <w:szCs w:val="24"/>
        </w:rPr>
        <w:t xml:space="preserve">10 </w:t>
      </w:r>
      <w:r w:rsidRPr="00BB2B47">
        <w:rPr>
          <w:rFonts w:ascii="inherit" w:eastAsia="Times New Roman" w:hAnsi="inherit" w:cs="Tahoma"/>
          <w:sz w:val="24"/>
          <w:szCs w:val="24"/>
          <w:cs/>
        </w:rPr>
        <w:t xml:space="preserve">แห่งพระราชบัญญัติคุ้มครองแรงงานฯ สัญญาค้ำประกันจึงตกเป็นโมฆะ ตามประมวลกฎหมายแพ่งและพาณิชย์ มาตรา </w:t>
      </w:r>
      <w:r w:rsidRPr="00BB2B47">
        <w:rPr>
          <w:rFonts w:ascii="inherit" w:eastAsia="Times New Roman" w:hAnsi="inherit" w:cs="Tahoma"/>
          <w:sz w:val="24"/>
          <w:szCs w:val="24"/>
        </w:rPr>
        <w:t xml:space="preserve">150 </w:t>
      </w:r>
      <w:r w:rsidRPr="00BB2B47">
        <w:rPr>
          <w:rFonts w:ascii="inherit" w:eastAsia="Times New Roman" w:hAnsi="inherit" w:cs="Tahoma"/>
          <w:sz w:val="24"/>
          <w:szCs w:val="24"/>
          <w:cs/>
        </w:rPr>
        <w:t>นายจ้างจึงไม่อาจนำ สัญญาค้ำประกันมาฟ้องให้ผู้ค้ำประกันรับผิดชดเชยความเสียหายได้</w:t>
      </w:r>
    </w:p>
    <w:p w:rsidR="00BB2B47" w:rsidRPr="00BB2B47" w:rsidRDefault="00BB2B47" w:rsidP="00BB2B47">
      <w:pPr>
        <w:spacing w:after="0" w:line="240" w:lineRule="auto"/>
        <w:rPr>
          <w:rFonts w:ascii="inherit" w:eastAsia="Times New Roman" w:hAnsi="inherit" w:cs="Tahoma"/>
          <w:sz w:val="24"/>
          <w:szCs w:val="24"/>
        </w:rPr>
      </w:pPr>
      <w:r w:rsidRPr="00BB2B47">
        <w:rPr>
          <w:rFonts w:ascii="inherit" w:eastAsia="Times New Roman" w:hAnsi="inherit" w:cs="Tahoma"/>
          <w:sz w:val="24"/>
          <w:szCs w:val="24"/>
          <w:cs/>
        </w:rPr>
        <w:t>จากคำพิพากษาฎีกาฉบับดังกล่าว แม้ว่าผู้ค้ำประกันจะไม่ต้องรับผิด หากสัญญาค้ำประกันมิได้จำกัดวงเงินค้ำประกันไว้ แต่สิ่งที่ผู้ค้ำประกันการทำงานควรระวัง เมื่อลูกจ้างได้ก่อให้เกิดความเสียหายแก่นายจ้างแล้ว ผู้ค้ำประกันไม่ควรไปลงนามรับสภาพหนี้กับนายจ้าง ซึ่งจะก่อให้เกิดสิทธิเรียกร้อง นอกเหนือจากสัญญาค้ำประกันการทำงานครับ การลงนามในสัญญารับสภาพหนี้ อาจจะมีผลให้นายจ้างสามารถใช้สิทธิเรียกร้องให้ผู้ค้ำประกันรับผิดชอบเต็มจำนวนตามที่ลูกจ้างได้ก่อให้เกิดความเสียหายต่อนายจ้างครับ</w:t>
      </w:r>
      <w:r w:rsidRPr="00BB2B47">
        <w:rPr>
          <w:rFonts w:ascii="inherit" w:eastAsia="Times New Roman" w:hAnsi="inherit" w:cs="Tahoma"/>
          <w:sz w:val="24"/>
          <w:szCs w:val="24"/>
        </w:rPr>
        <w:t xml:space="preserve"> </w:t>
      </w:r>
    </w:p>
    <w:p w:rsidR="00BB2B47" w:rsidRPr="00BD0096" w:rsidRDefault="00BB2B47" w:rsidP="00BB2B47">
      <w:pPr>
        <w:spacing w:after="0" w:line="240" w:lineRule="auto"/>
        <w:rPr>
          <w:rFonts w:ascii="inherit" w:eastAsia="Times New Roman" w:hAnsi="inherit" w:cs="Tahoma" w:hint="cs"/>
          <w:sz w:val="24"/>
          <w:szCs w:val="24"/>
        </w:rPr>
      </w:pPr>
    </w:p>
    <w:p w:rsidR="00BB2B47" w:rsidRPr="00BB2B47" w:rsidRDefault="00BB2B47" w:rsidP="00BB2B47">
      <w:pPr>
        <w:spacing w:after="0" w:line="240" w:lineRule="auto"/>
        <w:ind w:left="144"/>
        <w:rPr>
          <w:rFonts w:ascii="inherit" w:eastAsia="Times New Roman" w:hAnsi="inherit" w:cs="Segoe UI"/>
          <w:color w:val="65676B"/>
          <w:sz w:val="18"/>
          <w:szCs w:val="18"/>
          <w:bdr w:val="single" w:sz="12" w:space="0" w:color="auto" w:frame="1"/>
        </w:rPr>
      </w:pPr>
    </w:p>
    <w:sectPr w:rsidR="00BB2B47" w:rsidRPr="00BB2B47" w:rsidSect="006047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BB2B47"/>
    <w:rsid w:val="00604754"/>
    <w:rsid w:val="006F5659"/>
    <w:rsid w:val="008629A7"/>
    <w:rsid w:val="00BB2B47"/>
    <w:rsid w:val="00BD0096"/>
    <w:rsid w:val="00C61EE9"/>
    <w:rsid w:val="00EE28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28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B2B47"/>
    <w:rPr>
      <w:color w:val="0000FF"/>
      <w:u w:val="single"/>
    </w:rPr>
  </w:style>
  <w:style w:type="character" w:customStyle="1" w:styleId="xt0b8zv">
    <w:name w:val="xt0b8zv"/>
    <w:basedOn w:val="DefaultParagraphFont"/>
    <w:rsid w:val="00BB2B47"/>
  </w:style>
  <w:style w:type="character" w:customStyle="1" w:styleId="x1e558r4">
    <w:name w:val="x1e558r4"/>
    <w:basedOn w:val="DefaultParagraphFont"/>
    <w:rsid w:val="00BB2B4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49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3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3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79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856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927412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943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430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6223847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0920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79655010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2218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9605662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6862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6635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2480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3741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1347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8938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4123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75455240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446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0109199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8931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86269882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8940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76172309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024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99981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6452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30757657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4206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9964393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173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6549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440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45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128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567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738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331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905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8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27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588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99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485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2451906">
                                  <w:marLeft w:val="192"/>
                                  <w:marRight w:val="192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6950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4918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1607929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179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6029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ivic">
      <a:maj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Georgia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423</Words>
  <Characters>2415</Characters>
  <Application>Microsoft Office Word</Application>
  <DocSecurity>0</DocSecurity>
  <Lines>20</Lines>
  <Paragraphs>5</Paragraphs>
  <ScaleCrop>false</ScaleCrop>
  <Company/>
  <LinksUpToDate>false</LinksUpToDate>
  <CharactersWithSpaces>2833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nannapad.s</dc:creator>
  <cp:lastModifiedBy>nannapad.s</cp:lastModifiedBy>
  <cp:revision>3</cp:revision>
  <dcterms:created xsi:type="dcterms:W3CDTF">2023-11-09T08:42:00Z</dcterms:created>
  <dcterms:modified xsi:type="dcterms:W3CDTF">2023-11-09T08:43:00Z</dcterms:modified>
</cp:coreProperties>
</file>