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WHOM_SAM_OM2.3_MP5.00_1000_23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17.02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189"/>
        <w:tblLook w:firstRow="1" w:lastRow="0" w:firstColumn="0" w:lastColumn="0" w:noHBand="0" w:noVBand="1"/>
      </w:tblPr>
      <w:tblGrid>
        <w:gridCol w:w="1111"/>
        <w:gridCol w:w="2289"/>
        <w:gridCol w:w="479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OM2.3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611814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856540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604476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 F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WGWIDE19_SAM.RData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MSE_WGWIDE19_FLStocks_SAM1000.RData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2020-07-10T17:02:55Z</dcterms:modified>
  <cp:category/>
</cp:coreProperties>
</file>