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WHOM_SAM_OM2.3_MP5.21_1000_23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17.24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87"/>
        <w:tblLook w:firstRow="1" w:lastRow="0" w:firstColumn="0" w:lastColumn="0" w:noHBand="0" w:noVBand="1"/>
      </w:tblPr>
      <w:tblGrid>
        <w:gridCol w:w="1572"/>
        <w:gridCol w:w="963"/>
        <w:gridCol w:w="963"/>
        <w:gridCol w:w="839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26.2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37.3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21.5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44.6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89"/>
        <w:tblLook w:firstRow="1" w:lastRow="0" w:firstColumn="0" w:lastColumn="0" w:noHBand="0" w:noVBand="1"/>
      </w:tblPr>
      <w:tblGrid>
        <w:gridCol w:w="1111"/>
        <w:gridCol w:w="2289"/>
        <w:gridCol w:w="479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OM2.3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611814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604476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MP5.21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 HCR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DoubleBP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50000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MSE_WGWIDE19_FLStocks_SAM1000.RData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2020-07-10T17:24:35Z</dcterms:modified>
  <cp:category/>
</cp:coreProperties>
</file>