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WHOM_SS3_OM2.2_MP5.10_1000_23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13.43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29.8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38.5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35.9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65.2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83.6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0"/>
        <w:tblLook w:firstRow="1" w:lastRow="0" w:firstColumn="0" w:lastColumn="0" w:noHBand="0" w:noVBand="1"/>
      </w:tblPr>
      <w:tblGrid>
        <w:gridCol w:w="1111"/>
        <w:gridCol w:w="2289"/>
        <w:gridCol w:w="4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MP5.10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ICESHCR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 AR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MSE_WGWIDE19_FLStocks_1k15PG.RData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2020-07-10T13:43:11Z</dcterms:modified>
  <cp:category/>
</cp:coreProperties>
</file>