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WHOM_SS3_OM2.2_MP5.13_1000_23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13.49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MP5.13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IAV above Btrigger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IAV above 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2020-07-10T13:49:31Z</dcterms:modified>
  <cp:category/>
</cp:coreProperties>
</file>