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WHOM_SS_OM2.2_MP5.11_1000_23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20.43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2020-07-05T20:43:34Z</dcterms:modified>
  <cp:category/>
</cp:coreProperties>
</file>