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26" w:rsidRPr="00926132" w:rsidRDefault="00C02506" w:rsidP="00B835CD">
      <w:pPr>
        <w:pStyle w:val="Title"/>
      </w:pPr>
      <w:r w:rsidRPr="00926132">
        <w:t>WD2 abundance indices</w:t>
      </w:r>
    </w:p>
    <w:p w:rsidR="00DC406F" w:rsidRPr="00926132" w:rsidRDefault="00B835CD">
      <w:r w:rsidRPr="00926132">
        <w:t>There is landings per unit effort information available from UK and Dutch vessels. Here we describe briefly the UK and in more detail the Dutch information and present a number of alternative ways to standardize the time-series to be used in the Turbot assessment.</w:t>
      </w:r>
    </w:p>
    <w:p w:rsidR="00B835CD" w:rsidRPr="00926132" w:rsidRDefault="00B835CD" w:rsidP="00B835CD">
      <w:pPr>
        <w:pStyle w:val="Heading1"/>
        <w:rPr>
          <w:color w:val="auto"/>
        </w:rPr>
      </w:pPr>
      <w:r w:rsidRPr="00926132">
        <w:rPr>
          <w:color w:val="auto"/>
        </w:rPr>
        <w:t>UK data</w:t>
      </w:r>
    </w:p>
    <w:p w:rsidR="00B835CD" w:rsidRPr="00926132" w:rsidRDefault="00B835CD" w:rsidP="00B835CD">
      <w:r w:rsidRPr="00926132">
        <w:t xml:space="preserve">A description of the origin of the UK data is not available and the methods used to standardize the time-series is lacking as well. An area-based analyses has been performed and area-sums were provided as CPUE time-series which are shown below. In recent years, the Otter trawl hardly catch any Turbot and the selected time-series for trial assessment runs relies on beam trawl data only. </w:t>
      </w:r>
    </w:p>
    <w:p w:rsidR="003A286F" w:rsidRPr="00926132" w:rsidRDefault="003A286F">
      <w:r w:rsidRPr="00926132">
        <w:rPr>
          <w:noProof/>
          <w:lang w:eastAsia="en-GB"/>
        </w:rPr>
        <w:drawing>
          <wp:inline distT="0" distB="0" distL="0" distR="0" wp14:anchorId="387A1196" wp14:editId="0A59C013">
            <wp:extent cx="5200000" cy="37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000" cy="3704762"/>
                    </a:xfrm>
                    <a:prstGeom prst="rect">
                      <a:avLst/>
                    </a:prstGeom>
                  </pic:spPr>
                </pic:pic>
              </a:graphicData>
            </a:graphic>
          </wp:inline>
        </w:drawing>
      </w:r>
    </w:p>
    <w:p w:rsidR="003A286F" w:rsidRPr="00926132" w:rsidRDefault="003A286F">
      <w:r w:rsidRPr="00926132">
        <w:t>Fig</w:t>
      </w:r>
      <w:r w:rsidR="00B835CD" w:rsidRPr="00926132">
        <w:t>ure 1.</w:t>
      </w:r>
      <w:r w:rsidRPr="00926132">
        <w:t xml:space="preserve"> LPUEs and Catches for UK beam trawl and UK otter trawls</w:t>
      </w:r>
    </w:p>
    <w:p w:rsidR="00B835CD" w:rsidRPr="00926132" w:rsidRDefault="00B835CD" w:rsidP="00B835CD">
      <w:pPr>
        <w:pStyle w:val="Heading2"/>
        <w:rPr>
          <w:color w:val="auto"/>
        </w:rPr>
      </w:pPr>
      <w:r w:rsidRPr="00926132">
        <w:rPr>
          <w:color w:val="auto"/>
        </w:rPr>
        <w:t>Dutch data</w:t>
      </w:r>
    </w:p>
    <w:p w:rsidR="003A286F" w:rsidRPr="00926132" w:rsidRDefault="00B835CD">
      <w:r w:rsidRPr="00926132">
        <w:t>LpUE information for Dutch vessels is obtained from logbook registrations which are reliably available since 1995 (introduction of a new database at the compliance company). Logbook records of all vessels catching either sole, plaice or turbot were selected, fishing with a mesh size &gt;70 and smaller than 100mm and registered as fishing with a TBB gear. Since 2009, the fleet has transitioned to i</w:t>
      </w:r>
      <w:r w:rsidR="00CA73AF" w:rsidRPr="00926132">
        <w:t xml:space="preserve">nnovative gear types, replacing the beam with a wing design and replacing the tickler chains with </w:t>
      </w:r>
      <w:r w:rsidR="001C0040" w:rsidRPr="00926132">
        <w:t>pulse stimuli. These changes may result in different catchabilities which is why they are analysed separately to investigate the differences.</w:t>
      </w:r>
      <w:r w:rsidR="00C644E5" w:rsidRPr="00926132">
        <w:t xml:space="preserve"> Figure 2</w:t>
      </w:r>
      <w:r w:rsidR="001C0040" w:rsidRPr="00926132">
        <w:t xml:space="preserve"> shows the individual LpUEs for these fleets, clearly showing markedly different absolute LpUE values, while trends in especially pulse and traditional beamtrawl seem similar. </w:t>
      </w:r>
    </w:p>
    <w:p w:rsidR="001C0040" w:rsidRPr="00926132" w:rsidRDefault="001C0040">
      <w:r w:rsidRPr="00926132">
        <w:t xml:space="preserve">Not only their catchability is different, their predominant fishing location differs as </w:t>
      </w:r>
      <w:r w:rsidR="00C644E5" w:rsidRPr="00926132">
        <w:t>well, as can be seen in Figure 3</w:t>
      </w:r>
      <w:r w:rsidRPr="00926132">
        <w:t xml:space="preserve">. </w:t>
      </w:r>
      <w:r w:rsidR="006375A2" w:rsidRPr="00926132">
        <w:t xml:space="preserve">The pulse fleet now inhabits the more traditional sole grounds in the southern North Sea while the remaining traditional beam trawlers fish in the northerly areas of the original distribution range, in areas where more Turbot is caught. </w:t>
      </w:r>
      <w:r w:rsidR="00BF7DA5" w:rsidRPr="00926132">
        <w:t xml:space="preserve">It is therefore that we have to correct for gear and area when standardizing the LpUE for the Dutch vessels. </w:t>
      </w:r>
    </w:p>
    <w:p w:rsidR="001C0040" w:rsidRPr="00926132" w:rsidRDefault="00967D0F">
      <w:r w:rsidRPr="00926132">
        <w:rPr>
          <w:noProof/>
          <w:lang w:eastAsia="en-GB"/>
        </w:rPr>
        <w:lastRenderedPageBreak/>
        <w:drawing>
          <wp:inline distT="0" distB="0" distL="0" distR="0" wp14:anchorId="6FAEA940" wp14:editId="12D68B4C">
            <wp:extent cx="5760720" cy="3338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38195"/>
                    </a:xfrm>
                    <a:prstGeom prst="rect">
                      <a:avLst/>
                    </a:prstGeom>
                  </pic:spPr>
                </pic:pic>
              </a:graphicData>
            </a:graphic>
          </wp:inline>
        </w:drawing>
      </w:r>
    </w:p>
    <w:p w:rsidR="001C0040" w:rsidRPr="00926132" w:rsidRDefault="001C0040">
      <w:r w:rsidRPr="00926132">
        <w:t xml:space="preserve">Figure </w:t>
      </w:r>
      <w:r w:rsidR="00D51FA2" w:rsidRPr="00926132">
        <w:t>2</w:t>
      </w:r>
      <w:r w:rsidRPr="00926132">
        <w:t xml:space="preserve">. LpUE for the traditional beamtrawl (TBB, in red), the chainmat fishery (SLOF, in pink, discontinued), the wing-design (SUM, in green) and the pulse design (PULS, in blue). </w:t>
      </w:r>
    </w:p>
    <w:p w:rsidR="001C0040" w:rsidRPr="00926132" w:rsidRDefault="001C0040"/>
    <w:p w:rsidR="001C0040" w:rsidRPr="00926132" w:rsidRDefault="001C0040"/>
    <w:p w:rsidR="002963AB" w:rsidRPr="00926132" w:rsidRDefault="002963AB"/>
    <w:p w:rsidR="002963AB" w:rsidRPr="00926132" w:rsidRDefault="00926132">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3576320</wp:posOffset>
                </wp:positionH>
                <wp:positionV relativeFrom="paragraph">
                  <wp:posOffset>8197215</wp:posOffset>
                </wp:positionV>
                <wp:extent cx="2360930" cy="1404620"/>
                <wp:effectExtent l="0" t="0" r="63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26132" w:rsidRDefault="00926132">
                            <w:r>
                              <w:t>Figure 3. Spatial distribution of the puls, sumwing and traditional beamtrawl fleet over the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1.6pt;margin-top:645.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" stroked="f">
                <v:textbox style="mso-fit-shape-to-text:t">
                  <w:txbxContent>
                    <w:p w:rsidR="00926132" w:rsidRDefault="00926132">
                      <w:r>
                        <w:t xml:space="preserve">Figure 3. Spatial distribution of the </w:t>
                      </w:r>
                      <w:proofErr w:type="spellStart"/>
                      <w:r>
                        <w:t>puls</w:t>
                      </w:r>
                      <w:proofErr w:type="spellEnd"/>
                      <w:r>
                        <w:t xml:space="preserve">, sumwing and traditional </w:t>
                      </w:r>
                      <w:proofErr w:type="spellStart"/>
                      <w:r>
                        <w:t>beamtrawl</w:t>
                      </w:r>
                      <w:proofErr w:type="spellEnd"/>
                      <w:r>
                        <w:t xml:space="preserve"> fleet over the years</w:t>
                      </w:r>
                    </w:p>
                  </w:txbxContent>
                </v:textbox>
              </v:shape>
            </w:pict>
          </mc:Fallback>
        </mc:AlternateContent>
      </w:r>
      <w:r w:rsidR="001C0040" w:rsidRPr="00926132">
        <w:rPr>
          <w:noProof/>
          <w:lang w:eastAsia="en-GB"/>
        </w:rPr>
        <w:drawing>
          <wp:inline distT="0" distB="0" distL="0" distR="0">
            <wp:extent cx="2880000" cy="4010354"/>
            <wp:effectExtent l="0" t="0" r="0" b="0"/>
            <wp:docPr id="5" name="Picture 5" descr="W:\IMARES\Data\ICES-WG\IBPTURBOT\2017\LPUE\CatchEffort\Output\map_LpUEP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MARES\Data\ICES-WG\IBPTURBOT\2017\LPUE\CatchEffort\Output\map_LpUEPULS.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0902" r="20695" b="10902"/>
                    <a:stretch/>
                  </pic:blipFill>
                  <pic:spPr bwMode="auto">
                    <a:xfrm>
                      <a:off x="0" y="0"/>
                      <a:ext cx="2880000" cy="4010354"/>
                    </a:xfrm>
                    <a:prstGeom prst="rect">
                      <a:avLst/>
                    </a:prstGeom>
                    <a:noFill/>
                    <a:ln>
                      <a:noFill/>
                    </a:ln>
                    <a:extLst>
                      <a:ext uri="{53640926-AAD7-44D8-BBD7-CCE9431645EC}">
                        <a14:shadowObscured xmlns:a14="http://schemas.microsoft.com/office/drawing/2010/main"/>
                      </a:ext>
                    </a:extLst>
                  </pic:spPr>
                </pic:pic>
              </a:graphicData>
            </a:graphic>
          </wp:inline>
        </w:drawing>
      </w:r>
      <w:r w:rsidR="001C0040" w:rsidRPr="00926132">
        <w:rPr>
          <w:noProof/>
          <w:lang w:eastAsia="en-GB"/>
        </w:rPr>
        <w:drawing>
          <wp:inline distT="0" distB="0" distL="0" distR="0">
            <wp:extent cx="2880000" cy="3990944"/>
            <wp:effectExtent l="0" t="0" r="0" b="0"/>
            <wp:docPr id="6" name="Picture 6" descr="W:\IMARES\Data\ICES-WG\IBPTURBOT\2017\LPUE\CatchEffort\Output\map_LpUE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MARES\Data\ICES-WG\IBPTURBOT\2017\LPUE\CatchEffort\Output\map_LpUESU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137" r="21026" b="11372"/>
                    <a:stretch/>
                  </pic:blipFill>
                  <pic:spPr bwMode="auto">
                    <a:xfrm>
                      <a:off x="0" y="0"/>
                      <a:ext cx="2880000" cy="3990944"/>
                    </a:xfrm>
                    <a:prstGeom prst="rect">
                      <a:avLst/>
                    </a:prstGeom>
                    <a:noFill/>
                    <a:ln>
                      <a:noFill/>
                    </a:ln>
                    <a:extLst>
                      <a:ext uri="{53640926-AAD7-44D8-BBD7-CCE9431645EC}">
                        <a14:shadowObscured xmlns:a14="http://schemas.microsoft.com/office/drawing/2010/main"/>
                      </a:ext>
                    </a:extLst>
                  </pic:spPr>
                </pic:pic>
              </a:graphicData>
            </a:graphic>
          </wp:inline>
        </w:drawing>
      </w:r>
      <w:r w:rsidR="001C0040" w:rsidRPr="00926132">
        <w:rPr>
          <w:noProof/>
          <w:lang w:eastAsia="en-GB"/>
        </w:rPr>
        <w:drawing>
          <wp:inline distT="0" distB="0" distL="0" distR="0">
            <wp:extent cx="3636000" cy="5134947"/>
            <wp:effectExtent l="0" t="0" r="3175" b="8890"/>
            <wp:docPr id="7" name="Picture 7" descr="W:\IMARES\Data\ICES-WG\IBPTURBOT\2017\LPUE\CatchEffort\Output\map_LpUET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RES\Data\ICES-WG\IBPTURBOT\2017\LPUE\CatchEffort\Output\map_LpUET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000" cy="5134947"/>
                    </a:xfrm>
                    <a:prstGeom prst="rect">
                      <a:avLst/>
                    </a:prstGeom>
                    <a:noFill/>
                    <a:ln>
                      <a:noFill/>
                    </a:ln>
                  </pic:spPr>
                </pic:pic>
              </a:graphicData>
            </a:graphic>
          </wp:inline>
        </w:drawing>
      </w:r>
    </w:p>
    <w:p w:rsidR="006375A2" w:rsidRPr="00926132" w:rsidRDefault="006375A2" w:rsidP="006375A2">
      <w:pPr>
        <w:pStyle w:val="Heading2"/>
        <w:rPr>
          <w:color w:val="auto"/>
        </w:rPr>
      </w:pPr>
      <w:r w:rsidRPr="00926132">
        <w:rPr>
          <w:color w:val="auto"/>
        </w:rPr>
        <w:t>Statistical model</w:t>
      </w:r>
    </w:p>
    <w:p w:rsidR="00BF7DA5" w:rsidRPr="00926132" w:rsidRDefault="00C6130B" w:rsidP="00BF7DA5">
      <w:r w:rsidRPr="00926132">
        <w:t>To standardize the survey and retrieve a time-series of year effects a statistical model was designed including interactions in space, time and gear.</w:t>
      </w:r>
      <w:r w:rsidR="00B44A52" w:rsidRPr="00926132">
        <w:t xml:space="preserve"> As raw LpUEs were calculated on a trip &amp; rectangle basis, effort per rectangle is taken as a weighting factor in the analyses. Only rectangles in which fishing occurred in 11 or more years were taken on-board. This amounted to 99% of all Turbot catches since 1995. </w:t>
      </w:r>
      <w:r w:rsidRPr="00926132">
        <w:t>Several different model configurations were tested and analysed. In general, residuals did not show patterns and all configurations seem statistically appropriate. AIC and BIC criteria were calculated to help guide a pending decision on which series to use in the assessment.</w:t>
      </w:r>
    </w:p>
    <w:p w:rsidR="00B44A52" w:rsidRPr="00926132" w:rsidRDefault="00C6130B" w:rsidP="00BF7DA5">
      <w:r w:rsidRPr="00926132">
        <w:t xml:space="preserve">The </w:t>
      </w:r>
      <w:r w:rsidR="00B44A52" w:rsidRPr="00926132">
        <w:t>models</w:t>
      </w:r>
      <w:r w:rsidRPr="00926132">
        <w:t xml:space="preserve"> fitted </w:t>
      </w:r>
      <w:r w:rsidR="00B44A52" w:rsidRPr="00926132">
        <w:t>were</w:t>
      </w:r>
      <w:r w:rsidR="00C644E5" w:rsidRPr="00926132">
        <w:t>:</w:t>
      </w:r>
    </w:p>
    <w:tbl>
      <w:tblPr>
        <w:tblStyle w:val="ListTable3"/>
        <w:tblW w:w="0" w:type="auto"/>
        <w:tblLook w:val="04A0" w:firstRow="1" w:lastRow="0" w:firstColumn="1" w:lastColumn="0" w:noHBand="0" w:noVBand="1"/>
      </w:tblPr>
      <w:tblGrid>
        <w:gridCol w:w="784"/>
        <w:gridCol w:w="6868"/>
        <w:gridCol w:w="708"/>
        <w:gridCol w:w="702"/>
      </w:tblGrid>
      <w:tr w:rsidR="00926132" w:rsidRPr="00926132" w:rsidTr="009261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0" w:type="dxa"/>
          </w:tcPr>
          <w:p w:rsidR="00B44A52" w:rsidRPr="00926132" w:rsidRDefault="00B44A52" w:rsidP="00BF7DA5">
            <w:pPr>
              <w:rPr>
                <w:color w:val="auto"/>
              </w:rPr>
            </w:pPr>
            <w:r w:rsidRPr="00926132">
              <w:rPr>
                <w:color w:val="auto"/>
              </w:rPr>
              <w:t>Model</w:t>
            </w:r>
          </w:p>
        </w:tc>
        <w:tc>
          <w:tcPr>
            <w:tcW w:w="6910" w:type="dxa"/>
          </w:tcPr>
          <w:p w:rsidR="00B44A52" w:rsidRPr="00926132" w:rsidRDefault="00B44A52" w:rsidP="00BF7DA5">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Description</w:t>
            </w:r>
          </w:p>
        </w:tc>
        <w:tc>
          <w:tcPr>
            <w:tcW w:w="709" w:type="dxa"/>
          </w:tcPr>
          <w:p w:rsidR="00B44A52" w:rsidRPr="00926132" w:rsidRDefault="00B44A52" w:rsidP="00BF7DA5">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AIC</w:t>
            </w:r>
          </w:p>
        </w:tc>
        <w:tc>
          <w:tcPr>
            <w:tcW w:w="703" w:type="dxa"/>
          </w:tcPr>
          <w:p w:rsidR="00B44A52" w:rsidRPr="00926132" w:rsidRDefault="00B44A52" w:rsidP="00BF7DA5">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BIC</w:t>
            </w:r>
          </w:p>
        </w:tc>
      </w:tr>
      <w:tr w:rsidR="00926132" w:rsidRPr="00926132" w:rsidTr="0092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rsidR="00B44A52" w:rsidRPr="00926132" w:rsidRDefault="00B44A52" w:rsidP="00BF7DA5">
            <w:r w:rsidRPr="00926132">
              <w:t>A</w:t>
            </w:r>
          </w:p>
        </w:tc>
        <w:tc>
          <w:tcPr>
            <w:tcW w:w="6910" w:type="dxa"/>
          </w:tcPr>
          <w:p w:rsidR="00B44A52" w:rsidRPr="00926132" w:rsidRDefault="00B44A52" w:rsidP="00BF7DA5">
            <w:pPr>
              <w:cnfStyle w:val="000000100000" w:firstRow="0" w:lastRow="0" w:firstColumn="0" w:lastColumn="0" w:oddVBand="0" w:evenVBand="0" w:oddHBand="1" w:evenHBand="0" w:firstRowFirstColumn="0" w:firstRowLastColumn="0" w:lastRowFirstColumn="0" w:lastRowLastColumn="0"/>
            </w:pPr>
            <w:r w:rsidRPr="00926132">
              <w:t>te(SI_LONG,SI_LATI,k=5)+as.factor(year) + LE_GEAR_INNOV</w:t>
            </w:r>
          </w:p>
        </w:tc>
        <w:tc>
          <w:tcPr>
            <w:tcW w:w="709" w:type="dxa"/>
          </w:tcPr>
          <w:p w:rsidR="00B44A52" w:rsidRPr="00926132" w:rsidRDefault="007E238D" w:rsidP="00BF7DA5">
            <w:pPr>
              <w:cnfStyle w:val="000000100000" w:firstRow="0" w:lastRow="0" w:firstColumn="0" w:lastColumn="0" w:oddVBand="0" w:evenVBand="0" w:oddHBand="1" w:evenHBand="0" w:firstRowFirstColumn="0" w:firstRowLastColumn="0" w:lastRowFirstColumn="0" w:lastRowLastColumn="0"/>
            </w:pPr>
            <w:r w:rsidRPr="00926132">
              <w:t>2935</w:t>
            </w:r>
          </w:p>
        </w:tc>
        <w:tc>
          <w:tcPr>
            <w:tcW w:w="703" w:type="dxa"/>
          </w:tcPr>
          <w:p w:rsidR="00B44A52" w:rsidRPr="00926132" w:rsidRDefault="00D51FA2" w:rsidP="00BF7DA5">
            <w:pPr>
              <w:cnfStyle w:val="000000100000" w:firstRow="0" w:lastRow="0" w:firstColumn="0" w:lastColumn="0" w:oddVBand="0" w:evenVBand="0" w:oddHBand="1" w:evenHBand="0" w:firstRowFirstColumn="0" w:firstRowLastColumn="0" w:lastRowFirstColumn="0" w:lastRowLastColumn="0"/>
            </w:pPr>
            <w:r w:rsidRPr="00926132">
              <w:t>3180</w:t>
            </w:r>
          </w:p>
        </w:tc>
      </w:tr>
      <w:tr w:rsidR="00926132" w:rsidRPr="00926132" w:rsidTr="00926132">
        <w:tc>
          <w:tcPr>
            <w:cnfStyle w:val="001000000000" w:firstRow="0" w:lastRow="0" w:firstColumn="1" w:lastColumn="0" w:oddVBand="0" w:evenVBand="0" w:oddHBand="0" w:evenHBand="0" w:firstRowFirstColumn="0" w:firstRowLastColumn="0" w:lastRowFirstColumn="0" w:lastRowLastColumn="0"/>
            <w:tcW w:w="740" w:type="dxa"/>
          </w:tcPr>
          <w:p w:rsidR="00B44A52" w:rsidRPr="00926132" w:rsidRDefault="00B44A52" w:rsidP="00BF7DA5">
            <w:r w:rsidRPr="00926132">
              <w:t>B</w:t>
            </w:r>
          </w:p>
        </w:tc>
        <w:tc>
          <w:tcPr>
            <w:tcW w:w="6910" w:type="dxa"/>
          </w:tcPr>
          <w:p w:rsidR="00B44A52" w:rsidRPr="00926132" w:rsidRDefault="00B44A52" w:rsidP="00BF7DA5">
            <w:pPr>
              <w:cnfStyle w:val="000000000000" w:firstRow="0" w:lastRow="0" w:firstColumn="0" w:lastColumn="0" w:oddVBand="0" w:evenVBand="0" w:oddHBand="0" w:evenHBand="0" w:firstRowFirstColumn="0" w:firstRowLastColumn="0" w:lastRowFirstColumn="0" w:lastRowLastColumn="0"/>
            </w:pPr>
            <w:r w:rsidRPr="00926132">
              <w:t>te(SI_LONG,SI_LATI, year,k=5)+ LE_GEAR_INNOV</w:t>
            </w:r>
          </w:p>
        </w:tc>
        <w:tc>
          <w:tcPr>
            <w:tcW w:w="709" w:type="dxa"/>
          </w:tcPr>
          <w:p w:rsidR="00B44A52" w:rsidRPr="00926132" w:rsidRDefault="00D51FA2" w:rsidP="00BF7DA5">
            <w:pPr>
              <w:cnfStyle w:val="000000000000" w:firstRow="0" w:lastRow="0" w:firstColumn="0" w:lastColumn="0" w:oddVBand="0" w:evenVBand="0" w:oddHBand="0" w:evenHBand="0" w:firstRowFirstColumn="0" w:firstRowLastColumn="0" w:lastRowFirstColumn="0" w:lastRowLastColumn="0"/>
            </w:pPr>
            <w:r w:rsidRPr="00926132">
              <w:t>2656</w:t>
            </w:r>
          </w:p>
        </w:tc>
        <w:tc>
          <w:tcPr>
            <w:tcW w:w="703" w:type="dxa"/>
          </w:tcPr>
          <w:p w:rsidR="00B44A52" w:rsidRPr="00926132" w:rsidRDefault="00D51FA2" w:rsidP="00BF7DA5">
            <w:pPr>
              <w:cnfStyle w:val="000000000000" w:firstRow="0" w:lastRow="0" w:firstColumn="0" w:lastColumn="0" w:oddVBand="0" w:evenVBand="0" w:oddHBand="0" w:evenHBand="0" w:firstRowFirstColumn="0" w:firstRowLastColumn="0" w:lastRowFirstColumn="0" w:lastRowLastColumn="0"/>
            </w:pPr>
            <w:r w:rsidRPr="00926132">
              <w:t>3112</w:t>
            </w:r>
          </w:p>
        </w:tc>
      </w:tr>
      <w:tr w:rsidR="00926132" w:rsidRPr="00926132" w:rsidTr="0092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rsidR="00B44A52" w:rsidRPr="00926132" w:rsidRDefault="00B44A52" w:rsidP="00BF7DA5">
            <w:r w:rsidRPr="00926132">
              <w:t>C</w:t>
            </w:r>
          </w:p>
        </w:tc>
        <w:tc>
          <w:tcPr>
            <w:tcW w:w="6910" w:type="dxa"/>
          </w:tcPr>
          <w:p w:rsidR="00B44A52" w:rsidRPr="00926132" w:rsidRDefault="00B44A52" w:rsidP="00BF7DA5">
            <w:pPr>
              <w:cnfStyle w:val="000000100000" w:firstRow="0" w:lastRow="0" w:firstColumn="0" w:lastColumn="0" w:oddVBand="0" w:evenVBand="0" w:oddHBand="1" w:evenHBand="0" w:firstRowFirstColumn="0" w:firstRowLastColumn="0" w:lastRowFirstColumn="0" w:lastRowLastColumn="0"/>
            </w:pPr>
            <w:r w:rsidRPr="00926132">
              <w:t>te(SI_LONG,SI_LATI,k=5)+te(year,k=10) + LE_GEAR_INNOV</w:t>
            </w:r>
          </w:p>
        </w:tc>
        <w:tc>
          <w:tcPr>
            <w:tcW w:w="709" w:type="dxa"/>
          </w:tcPr>
          <w:p w:rsidR="00B44A5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3053</w:t>
            </w:r>
          </w:p>
        </w:tc>
        <w:tc>
          <w:tcPr>
            <w:tcW w:w="703" w:type="dxa"/>
          </w:tcPr>
          <w:p w:rsidR="00B44A52" w:rsidRPr="00926132" w:rsidRDefault="00D51FA2" w:rsidP="00BF7DA5">
            <w:pPr>
              <w:cnfStyle w:val="000000100000" w:firstRow="0" w:lastRow="0" w:firstColumn="0" w:lastColumn="0" w:oddVBand="0" w:evenVBand="0" w:oddHBand="1" w:evenHBand="0" w:firstRowFirstColumn="0" w:firstRowLastColumn="0" w:lastRowFirstColumn="0" w:lastRowLastColumn="0"/>
            </w:pPr>
            <w:r w:rsidRPr="00926132">
              <w:t>3230</w:t>
            </w:r>
          </w:p>
        </w:tc>
      </w:tr>
      <w:tr w:rsidR="00926132" w:rsidRPr="00926132" w:rsidTr="00926132">
        <w:tc>
          <w:tcPr>
            <w:cnfStyle w:val="001000000000" w:firstRow="0" w:lastRow="0" w:firstColumn="1" w:lastColumn="0" w:oddVBand="0" w:evenVBand="0" w:oddHBand="0" w:evenHBand="0" w:firstRowFirstColumn="0" w:firstRowLastColumn="0" w:lastRowFirstColumn="0" w:lastRowLastColumn="0"/>
            <w:tcW w:w="740" w:type="dxa"/>
          </w:tcPr>
          <w:p w:rsidR="00B44A52" w:rsidRPr="00926132" w:rsidRDefault="00B44A52" w:rsidP="00BF7DA5">
            <w:r w:rsidRPr="00926132">
              <w:t>D</w:t>
            </w:r>
          </w:p>
        </w:tc>
        <w:tc>
          <w:tcPr>
            <w:tcW w:w="6910" w:type="dxa"/>
          </w:tcPr>
          <w:p w:rsidR="00B44A52" w:rsidRPr="00926132" w:rsidRDefault="00B44A52" w:rsidP="00BF7DA5">
            <w:pPr>
              <w:cnfStyle w:val="000000000000" w:firstRow="0" w:lastRow="0" w:firstColumn="0" w:lastColumn="0" w:oddVBand="0" w:evenVBand="0" w:oddHBand="0" w:evenHBand="0" w:firstRowFirstColumn="0" w:firstRowLastColumn="0" w:lastRowFirstColumn="0" w:lastRowLastColumn="0"/>
            </w:pPr>
            <w:r w:rsidRPr="00926132">
              <w:t>te(SI_LONG,SI_LATI, by=as.factor(year),k=5)+ as.factor(year) + LE_GEAR_INNOV</w:t>
            </w:r>
          </w:p>
        </w:tc>
        <w:tc>
          <w:tcPr>
            <w:tcW w:w="709" w:type="dxa"/>
          </w:tcPr>
          <w:p w:rsidR="00B44A52" w:rsidRPr="00926132" w:rsidRDefault="00D51FA2" w:rsidP="00BF7DA5">
            <w:pPr>
              <w:cnfStyle w:val="000000000000" w:firstRow="0" w:lastRow="0" w:firstColumn="0" w:lastColumn="0" w:oddVBand="0" w:evenVBand="0" w:oddHBand="0" w:evenHBand="0" w:firstRowFirstColumn="0" w:firstRowLastColumn="0" w:lastRowFirstColumn="0" w:lastRowLastColumn="0"/>
            </w:pPr>
            <w:r w:rsidRPr="00926132">
              <w:t>1618</w:t>
            </w:r>
          </w:p>
        </w:tc>
        <w:tc>
          <w:tcPr>
            <w:tcW w:w="703" w:type="dxa"/>
          </w:tcPr>
          <w:p w:rsidR="00B44A52" w:rsidRPr="00926132" w:rsidRDefault="00D51FA2" w:rsidP="00BF7DA5">
            <w:pPr>
              <w:cnfStyle w:val="000000000000" w:firstRow="0" w:lastRow="0" w:firstColumn="0" w:lastColumn="0" w:oddVBand="0" w:evenVBand="0" w:oddHBand="0" w:evenHBand="0" w:firstRowFirstColumn="0" w:firstRowLastColumn="0" w:lastRowFirstColumn="0" w:lastRowLastColumn="0"/>
            </w:pPr>
            <w:r w:rsidRPr="00926132">
              <w:t>3540</w:t>
            </w:r>
          </w:p>
        </w:tc>
      </w:tr>
    </w:tbl>
    <w:p w:rsidR="00B44A52" w:rsidRPr="00926132" w:rsidRDefault="00B44A52" w:rsidP="00BF7DA5"/>
    <w:p w:rsidR="00B44A52" w:rsidRPr="00926132" w:rsidRDefault="00B44A52" w:rsidP="00BF7DA5">
      <w:r w:rsidRPr="00926132">
        <w:t xml:space="preserve">Although model D shows a clear drop in AIC,  the increased use of parameters is substantial </w:t>
      </w:r>
      <w:r w:rsidR="00BA74AE" w:rsidRPr="00926132">
        <w:t>as shown with the BIC criteria. Predicted year effec</w:t>
      </w:r>
      <w:r w:rsidR="00C644E5" w:rsidRPr="00926132">
        <w:t>ts are shown in Figure 4</w:t>
      </w:r>
      <w:r w:rsidR="00BA74AE" w:rsidRPr="00926132">
        <w:t>, where predicted year effects of model A, C and D are very similar but only show a different intercept while model B is markedly smoother but shows the same absolute increase as the other series</w:t>
      </w:r>
      <w:r w:rsidR="00967D0F" w:rsidRPr="00926132">
        <w:t xml:space="preserve"> (increase from </w:t>
      </w:r>
      <w:r w:rsidR="00926132" w:rsidRPr="00926132">
        <w:t>1995</w:t>
      </w:r>
      <w:r w:rsidR="00967D0F" w:rsidRPr="00926132">
        <w:t xml:space="preserve"> - between 0.05</w:t>
      </w:r>
      <w:r w:rsidR="00926132" w:rsidRPr="00926132">
        <w:t>7</w:t>
      </w:r>
      <w:r w:rsidR="00967D0F" w:rsidRPr="00926132">
        <w:t xml:space="preserve"> and 0.0</w:t>
      </w:r>
      <w:r w:rsidR="00C644E5" w:rsidRPr="00926132">
        <w:t>63</w:t>
      </w:r>
      <w:r w:rsidR="00967D0F" w:rsidRPr="00926132">
        <w:t>)</w:t>
      </w:r>
      <w:r w:rsidR="00BA74AE" w:rsidRPr="00926132">
        <w:t xml:space="preserve">. </w:t>
      </w:r>
      <w:r w:rsidR="00E31CD0">
        <w:t>Model O refers to the currently used LpUE in the WGNSSK assessment of Turbot.</w:t>
      </w:r>
      <w:bookmarkStart w:id="0" w:name="_GoBack"/>
      <w:bookmarkEnd w:id="0"/>
    </w:p>
    <w:p w:rsidR="00C6130B" w:rsidRPr="00926132" w:rsidRDefault="00E31CD0" w:rsidP="00BF7DA5">
      <w:r w:rsidRPr="00E31CD0">
        <w:rPr>
          <w:noProof/>
          <w:lang w:eastAsia="en-GB"/>
        </w:rPr>
        <w:drawing>
          <wp:inline distT="0" distB="0" distL="0" distR="0">
            <wp:extent cx="5760720" cy="3181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81293"/>
                    </a:xfrm>
                    <a:prstGeom prst="rect">
                      <a:avLst/>
                    </a:prstGeom>
                    <a:noFill/>
                    <a:ln>
                      <a:noFill/>
                    </a:ln>
                  </pic:spPr>
                </pic:pic>
              </a:graphicData>
            </a:graphic>
          </wp:inline>
        </w:drawing>
      </w:r>
    </w:p>
    <w:p w:rsidR="00D51FA2" w:rsidRPr="00926132" w:rsidRDefault="00926132" w:rsidP="00BF7DA5">
      <w:r w:rsidRPr="00926132">
        <w:t>Figure 4</w:t>
      </w:r>
      <w:r w:rsidR="00D51FA2" w:rsidRPr="00926132">
        <w:t xml:space="preserve">. </w:t>
      </w:r>
      <w:r w:rsidRPr="00926132">
        <w:t xml:space="preserve">Predicted LpUE for each of the models, using TBB and a fixed rectangle as prediction conditions. </w:t>
      </w:r>
    </w:p>
    <w:p w:rsidR="00926132" w:rsidRPr="00926132" w:rsidRDefault="00926132" w:rsidP="00BF7DA5">
      <w:r w:rsidRPr="00926132">
        <w:t xml:space="preserve">Table 1. Table with predicted LpUE values. </w:t>
      </w:r>
    </w:p>
    <w:tbl>
      <w:tblPr>
        <w:tblStyle w:val="ListTable3"/>
        <w:tblW w:w="0" w:type="auto"/>
        <w:tblLook w:val="04A0" w:firstRow="1" w:lastRow="0" w:firstColumn="1" w:lastColumn="0" w:noHBand="0" w:noVBand="1"/>
      </w:tblPr>
      <w:tblGrid>
        <w:gridCol w:w="960"/>
        <w:gridCol w:w="1035"/>
        <w:gridCol w:w="1035"/>
        <w:gridCol w:w="1035"/>
        <w:gridCol w:w="1035"/>
      </w:tblGrid>
      <w:tr w:rsidR="00926132" w:rsidRPr="00926132" w:rsidTr="00D51FA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rsidR="00D51FA2" w:rsidRPr="00926132" w:rsidRDefault="00D51FA2">
            <w:pPr>
              <w:rPr>
                <w:color w:val="auto"/>
              </w:rPr>
            </w:pPr>
            <w:r w:rsidRPr="00926132">
              <w:rPr>
                <w:color w:val="auto"/>
              </w:rPr>
              <w:t>Year</w:t>
            </w:r>
          </w:p>
        </w:tc>
        <w:tc>
          <w:tcPr>
            <w:tcW w:w="960" w:type="dxa"/>
            <w:noWrap/>
            <w:hideMark/>
          </w:tcPr>
          <w:p w:rsidR="00D51FA2" w:rsidRPr="00926132" w:rsidRDefault="00D51FA2">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Model A</w:t>
            </w:r>
          </w:p>
        </w:tc>
        <w:tc>
          <w:tcPr>
            <w:tcW w:w="960" w:type="dxa"/>
            <w:noWrap/>
            <w:hideMark/>
          </w:tcPr>
          <w:p w:rsidR="00D51FA2" w:rsidRPr="00926132" w:rsidRDefault="00D51FA2">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Model B</w:t>
            </w:r>
          </w:p>
        </w:tc>
        <w:tc>
          <w:tcPr>
            <w:tcW w:w="960" w:type="dxa"/>
            <w:noWrap/>
            <w:hideMark/>
          </w:tcPr>
          <w:p w:rsidR="00D51FA2" w:rsidRPr="00926132" w:rsidRDefault="00D51FA2">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Model C</w:t>
            </w:r>
          </w:p>
        </w:tc>
        <w:tc>
          <w:tcPr>
            <w:tcW w:w="960" w:type="dxa"/>
            <w:noWrap/>
            <w:hideMark/>
          </w:tcPr>
          <w:p w:rsidR="00D51FA2" w:rsidRPr="00926132" w:rsidRDefault="00D51FA2">
            <w:pPr>
              <w:cnfStyle w:val="100000000000" w:firstRow="1" w:lastRow="0" w:firstColumn="0" w:lastColumn="0" w:oddVBand="0" w:evenVBand="0" w:oddHBand="0" w:evenHBand="0" w:firstRowFirstColumn="0" w:firstRowLastColumn="0" w:lastRowFirstColumn="0" w:lastRowLastColumn="0"/>
              <w:rPr>
                <w:color w:val="auto"/>
              </w:rPr>
            </w:pPr>
            <w:r w:rsidRPr="00926132">
              <w:rPr>
                <w:color w:val="auto"/>
              </w:rPr>
              <w:t>Model D</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1995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0.029005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0.038529</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0.029363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0.042271</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1996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0.027062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0.038195</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0.026905</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0.036913</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1997</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0.027335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0.037984</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0.025623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0.037283</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1998</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0.025017</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0.038016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0.026249</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0.034519</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1999</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0.026537</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0.038413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0.028531</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0.034486</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2000</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0.034002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0.039312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0.031457</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0.04409</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2001</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0.034816</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0.040855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0.033822</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0.045691</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0.032115</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0.043007</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0.034406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0.045351</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0.033646</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0.045625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0.03286</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0.046866</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2004</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0.032734</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0.048528</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0.031886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0.047674</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0.034629</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0.051486</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0.034407</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0.047145</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0.036482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0.054218</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0.040011</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0.048433</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2007</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0.047572</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0.056635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0.04497</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0.064184</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2008</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0.048819</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0.058904</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0.046521</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0.066611</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2009</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0.047743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0.061238</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0.046382</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0.065974</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2010</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0.042706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0.06389</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0.046822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0.058335</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2011</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0.047261</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0.067153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0.049329</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0.059202</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2012</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0.060853</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0.071256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0.055399</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0.073476</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2013</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0.068966</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0.07621</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0.064454</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0.075294</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2014</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0.067846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0.081994</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0.073163</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0.074674</w:t>
            </w:r>
          </w:p>
        </w:tc>
      </w:tr>
      <w:tr w:rsidR="00926132" w:rsidRPr="00926132" w:rsidTr="00D51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0.075625</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0.088567</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0.078832</w:t>
            </w:r>
          </w:p>
        </w:tc>
        <w:tc>
          <w:tcPr>
            <w:tcW w:w="960" w:type="dxa"/>
            <w:noWrap/>
            <w:hideMark/>
          </w:tcPr>
          <w:p w:rsidR="00D51FA2" w:rsidRPr="00926132" w:rsidRDefault="00D51FA2" w:rsidP="00D51FA2">
            <w:pPr>
              <w:cnfStyle w:val="000000100000" w:firstRow="0" w:lastRow="0" w:firstColumn="0" w:lastColumn="0" w:oddVBand="0" w:evenVBand="0" w:oddHBand="1" w:evenHBand="0" w:firstRowFirstColumn="0" w:firstRowLastColumn="0" w:lastRowFirstColumn="0" w:lastRowLastColumn="0"/>
            </w:pPr>
            <w:r w:rsidRPr="00926132">
              <w:t>0.087463</w:t>
            </w:r>
          </w:p>
        </w:tc>
      </w:tr>
      <w:tr w:rsidR="00926132" w:rsidRPr="00926132" w:rsidTr="00D51F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51FA2" w:rsidRPr="00926132" w:rsidRDefault="00D51FA2" w:rsidP="00D51FA2">
            <w:r w:rsidRPr="00926132">
              <w:t>2016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0.086205</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0.095856</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0.082574</w:t>
            </w:r>
          </w:p>
        </w:tc>
        <w:tc>
          <w:tcPr>
            <w:tcW w:w="960" w:type="dxa"/>
            <w:noWrap/>
            <w:hideMark/>
          </w:tcPr>
          <w:p w:rsidR="00D51FA2" w:rsidRPr="00926132" w:rsidRDefault="00D51FA2" w:rsidP="00D51FA2">
            <w:pPr>
              <w:cnfStyle w:val="000000000000" w:firstRow="0" w:lastRow="0" w:firstColumn="0" w:lastColumn="0" w:oddVBand="0" w:evenVBand="0" w:oddHBand="0" w:evenHBand="0" w:firstRowFirstColumn="0" w:firstRowLastColumn="0" w:lastRowFirstColumn="0" w:lastRowLastColumn="0"/>
            </w:pPr>
            <w:r w:rsidRPr="00926132">
              <w:t>0.097216</w:t>
            </w:r>
          </w:p>
        </w:tc>
      </w:tr>
    </w:tbl>
    <w:p w:rsidR="00D51FA2" w:rsidRPr="00926132" w:rsidRDefault="00D51FA2" w:rsidP="00BF7DA5"/>
    <w:sectPr w:rsidR="00D51FA2" w:rsidRPr="00926132" w:rsidSect="001C0040">
      <w:pgSz w:w="11906" w:h="16838"/>
      <w:pgMar w:top="709"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06"/>
    <w:rsid w:val="000A53F0"/>
    <w:rsid w:val="001C0040"/>
    <w:rsid w:val="002963AB"/>
    <w:rsid w:val="003A286F"/>
    <w:rsid w:val="004B20A3"/>
    <w:rsid w:val="00540826"/>
    <w:rsid w:val="00554F30"/>
    <w:rsid w:val="005677FD"/>
    <w:rsid w:val="00606369"/>
    <w:rsid w:val="006375A2"/>
    <w:rsid w:val="0071284D"/>
    <w:rsid w:val="007E238D"/>
    <w:rsid w:val="008A1033"/>
    <w:rsid w:val="00926132"/>
    <w:rsid w:val="009539C6"/>
    <w:rsid w:val="00967D0F"/>
    <w:rsid w:val="00B44A52"/>
    <w:rsid w:val="00B835CD"/>
    <w:rsid w:val="00BA74AE"/>
    <w:rsid w:val="00BF7DA5"/>
    <w:rsid w:val="00C02506"/>
    <w:rsid w:val="00C6130B"/>
    <w:rsid w:val="00C627F8"/>
    <w:rsid w:val="00C644E5"/>
    <w:rsid w:val="00CA73AF"/>
    <w:rsid w:val="00D51FA2"/>
    <w:rsid w:val="00DC406F"/>
    <w:rsid w:val="00DE43C8"/>
    <w:rsid w:val="00E31CD0"/>
    <w:rsid w:val="00F40C6E"/>
    <w:rsid w:val="00F86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D8D6"/>
  <w15:chartTrackingRefBased/>
  <w15:docId w15:val="{4134AB21-5349-443D-8F92-5B7AD334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5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35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506"/>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29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63AB"/>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835C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83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5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35C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4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51FA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2713">
      <w:bodyDiv w:val="1"/>
      <w:marLeft w:val="0"/>
      <w:marRight w:val="0"/>
      <w:marTop w:val="0"/>
      <w:marBottom w:val="0"/>
      <w:divBdr>
        <w:top w:val="none" w:sz="0" w:space="0" w:color="auto"/>
        <w:left w:val="none" w:sz="0" w:space="0" w:color="auto"/>
        <w:bottom w:val="none" w:sz="0" w:space="0" w:color="auto"/>
        <w:right w:val="none" w:sz="0" w:space="0" w:color="auto"/>
      </w:divBdr>
    </w:div>
    <w:div w:id="451049674">
      <w:bodyDiv w:val="1"/>
      <w:marLeft w:val="0"/>
      <w:marRight w:val="0"/>
      <w:marTop w:val="0"/>
      <w:marBottom w:val="0"/>
      <w:divBdr>
        <w:top w:val="none" w:sz="0" w:space="0" w:color="auto"/>
        <w:left w:val="none" w:sz="0" w:space="0" w:color="auto"/>
        <w:bottom w:val="none" w:sz="0" w:space="0" w:color="auto"/>
        <w:right w:val="none" w:sz="0" w:space="0" w:color="auto"/>
      </w:divBdr>
    </w:div>
    <w:div w:id="852382179">
      <w:bodyDiv w:val="1"/>
      <w:marLeft w:val="0"/>
      <w:marRight w:val="0"/>
      <w:marTop w:val="0"/>
      <w:marBottom w:val="0"/>
      <w:divBdr>
        <w:top w:val="none" w:sz="0" w:space="0" w:color="auto"/>
        <w:left w:val="none" w:sz="0" w:space="0" w:color="auto"/>
        <w:bottom w:val="none" w:sz="0" w:space="0" w:color="auto"/>
        <w:right w:val="none" w:sz="0" w:space="0" w:color="auto"/>
      </w:divBdr>
    </w:div>
    <w:div w:id="967273435">
      <w:bodyDiv w:val="1"/>
      <w:marLeft w:val="0"/>
      <w:marRight w:val="0"/>
      <w:marTop w:val="0"/>
      <w:marBottom w:val="0"/>
      <w:divBdr>
        <w:top w:val="none" w:sz="0" w:space="0" w:color="auto"/>
        <w:left w:val="none" w:sz="0" w:space="0" w:color="auto"/>
        <w:bottom w:val="none" w:sz="0" w:space="0" w:color="auto"/>
        <w:right w:val="none" w:sz="0" w:space="0" w:color="auto"/>
      </w:divBdr>
    </w:div>
    <w:div w:id="968826010">
      <w:bodyDiv w:val="1"/>
      <w:marLeft w:val="0"/>
      <w:marRight w:val="0"/>
      <w:marTop w:val="0"/>
      <w:marBottom w:val="0"/>
      <w:divBdr>
        <w:top w:val="none" w:sz="0" w:space="0" w:color="auto"/>
        <w:left w:val="none" w:sz="0" w:space="0" w:color="auto"/>
        <w:bottom w:val="none" w:sz="0" w:space="0" w:color="auto"/>
        <w:right w:val="none" w:sz="0" w:space="0" w:color="auto"/>
      </w:divBdr>
    </w:div>
    <w:div w:id="1032803183">
      <w:bodyDiv w:val="1"/>
      <w:marLeft w:val="0"/>
      <w:marRight w:val="0"/>
      <w:marTop w:val="0"/>
      <w:marBottom w:val="0"/>
      <w:divBdr>
        <w:top w:val="none" w:sz="0" w:space="0" w:color="auto"/>
        <w:left w:val="none" w:sz="0" w:space="0" w:color="auto"/>
        <w:bottom w:val="none" w:sz="0" w:space="0" w:color="auto"/>
        <w:right w:val="none" w:sz="0" w:space="0" w:color="auto"/>
      </w:divBdr>
    </w:div>
    <w:div w:id="1249386553">
      <w:bodyDiv w:val="1"/>
      <w:marLeft w:val="0"/>
      <w:marRight w:val="0"/>
      <w:marTop w:val="0"/>
      <w:marBottom w:val="0"/>
      <w:divBdr>
        <w:top w:val="none" w:sz="0" w:space="0" w:color="auto"/>
        <w:left w:val="none" w:sz="0" w:space="0" w:color="auto"/>
        <w:bottom w:val="none" w:sz="0" w:space="0" w:color="auto"/>
        <w:right w:val="none" w:sz="0" w:space="0" w:color="auto"/>
      </w:divBdr>
    </w:div>
    <w:div w:id="1555896187">
      <w:bodyDiv w:val="1"/>
      <w:marLeft w:val="0"/>
      <w:marRight w:val="0"/>
      <w:marTop w:val="0"/>
      <w:marBottom w:val="0"/>
      <w:divBdr>
        <w:top w:val="none" w:sz="0" w:space="0" w:color="auto"/>
        <w:left w:val="none" w:sz="0" w:space="0" w:color="auto"/>
        <w:bottom w:val="none" w:sz="0" w:space="0" w:color="auto"/>
        <w:right w:val="none" w:sz="0" w:space="0" w:color="auto"/>
      </w:divBdr>
    </w:div>
    <w:div w:id="185434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44AE47C2.dotm</Template>
  <TotalTime>426</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Poos, Jan Jaap</dc:creator>
  <cp:keywords/>
  <dc:description/>
  <cp:lastModifiedBy>Hintzen, Niels</cp:lastModifiedBy>
  <cp:revision>12</cp:revision>
  <dcterms:created xsi:type="dcterms:W3CDTF">2017-08-02T11:35:00Z</dcterms:created>
  <dcterms:modified xsi:type="dcterms:W3CDTF">2017-08-15T13:04:00Z</dcterms:modified>
</cp:coreProperties>
</file>