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26" w:rsidRPr="00926132" w:rsidRDefault="00C02506" w:rsidP="00B835CD">
      <w:pPr>
        <w:pStyle w:val="Title"/>
      </w:pPr>
      <w:r w:rsidRPr="00926132">
        <w:t>WD</w:t>
      </w:r>
      <w:r w:rsidR="001C6525">
        <w:t>3</w:t>
      </w:r>
      <w:r w:rsidRPr="00926132">
        <w:t xml:space="preserve"> </w:t>
      </w:r>
      <w:r w:rsidR="001C6525">
        <w:t>i</w:t>
      </w:r>
      <w:r w:rsidRPr="00926132">
        <w:t>ndices</w:t>
      </w:r>
      <w:r w:rsidR="001C6525">
        <w:t xml:space="preserve"> of discard monitoring programmes</w:t>
      </w:r>
    </w:p>
    <w:p w:rsidR="00DC406F" w:rsidRDefault="00B835CD">
      <w:r w:rsidRPr="00926132">
        <w:t xml:space="preserve">There is </w:t>
      </w:r>
      <w:r w:rsidR="001C6525">
        <w:t>discards</w:t>
      </w:r>
      <w:r w:rsidRPr="00926132">
        <w:t xml:space="preserve"> per unit effort information available from UK</w:t>
      </w:r>
      <w:r w:rsidR="001C6525">
        <w:t xml:space="preserve"> (flagships)</w:t>
      </w:r>
      <w:r w:rsidRPr="00926132">
        <w:t xml:space="preserve"> and Dutch vessels</w:t>
      </w:r>
      <w:r w:rsidR="001C6525">
        <w:t xml:space="preserve"> sampled under the Dutch discard monitoring programme</w:t>
      </w:r>
      <w:r w:rsidRPr="00926132">
        <w:t xml:space="preserve">. </w:t>
      </w:r>
      <w:r w:rsidR="00012048">
        <w:t>In this document we briefly describe the discard data and the different indices of discard data.</w:t>
      </w:r>
    </w:p>
    <w:p w:rsidR="00012048" w:rsidRPr="00926132" w:rsidRDefault="00012048">
      <w:r>
        <w:t xml:space="preserve">Due to measures set by the Dutch producer organisations for coping with a restrictive TAC discarding </w:t>
      </w:r>
      <w:r w:rsidR="0074261B">
        <w:t>of lower market sizes has increased.</w:t>
      </w:r>
    </w:p>
    <w:p w:rsidR="00B835CD" w:rsidRPr="00926132" w:rsidRDefault="00B835CD" w:rsidP="00B835CD">
      <w:pPr>
        <w:pStyle w:val="Heading2"/>
        <w:rPr>
          <w:color w:val="auto"/>
        </w:rPr>
      </w:pPr>
      <w:r w:rsidRPr="00926132">
        <w:rPr>
          <w:color w:val="auto"/>
        </w:rPr>
        <w:t xml:space="preserve">Dutch </w:t>
      </w:r>
      <w:r w:rsidR="00E53B9A">
        <w:rPr>
          <w:color w:val="auto"/>
        </w:rPr>
        <w:t xml:space="preserve">discard </w:t>
      </w:r>
      <w:r w:rsidRPr="00926132">
        <w:rPr>
          <w:color w:val="auto"/>
        </w:rPr>
        <w:t>data</w:t>
      </w:r>
    </w:p>
    <w:p w:rsidR="00E354AF" w:rsidRDefault="002316D7">
      <w:r>
        <w:t>Discarding information of turbot</w:t>
      </w:r>
      <w:r w:rsidR="00B835CD" w:rsidRPr="00926132">
        <w:t xml:space="preserve"> is obtained from </w:t>
      </w:r>
      <w:r>
        <w:t xml:space="preserve">two Dutch monitoring programmes. An observer programme that has been carried out since 1999 mainly on the flatfish fleet </w:t>
      </w:r>
      <w:r w:rsidR="00F04F93">
        <w:t xml:space="preserve">and a self-sampling programme in a reference fleet that was set up in 2010. From 2011 onwards the observer trips have taken place on board of the fishing vessels operating in the reference fleet. </w:t>
      </w:r>
      <w:r w:rsidR="00E354AF">
        <w:t xml:space="preserve">Hauls are sampled during monitoring trips. These hauls are raised to haul level based on weight and hauls are raised to trip level based on fishing hours. Trips are then raised to metier level based on </w:t>
      </w:r>
      <w:r w:rsidR="006A551C">
        <w:t xml:space="preserve">fishing </w:t>
      </w:r>
      <w:r w:rsidR="00E354AF">
        <w:t>effort</w:t>
      </w:r>
      <w:r w:rsidR="006A551C">
        <w:t xml:space="preserve"> (</w:t>
      </w:r>
      <w:proofErr w:type="spellStart"/>
      <w:r w:rsidR="006A551C">
        <w:t>kWdays</w:t>
      </w:r>
      <w:proofErr w:type="spellEnd"/>
      <w:r w:rsidR="006A551C">
        <w:t>)</w:t>
      </w:r>
      <w:r w:rsidR="00E354AF">
        <w:t>.</w:t>
      </w:r>
    </w:p>
    <w:p w:rsidR="00935FFF" w:rsidRDefault="00935FFF">
      <w:r>
        <w:t xml:space="preserve">Effort data is obtained from </w:t>
      </w:r>
      <w:r w:rsidRPr="00926132">
        <w:t>logbook registrations which are relia</w:t>
      </w:r>
      <w:r>
        <w:t>bly available since 1995</w:t>
      </w:r>
      <w:r>
        <w:t>.</w:t>
      </w:r>
    </w:p>
    <w:p w:rsidR="00935FFF" w:rsidRDefault="00FB19BD">
      <w:r>
        <w:t xml:space="preserve">Only sampled vessels fishing with a </w:t>
      </w:r>
      <w:r w:rsidRPr="00926132">
        <w:t>mesh size &gt;70 and smaller than 100mm and regist</w:t>
      </w:r>
      <w:r>
        <w:t>ered as fishing with a TBB gear are selected for the indices.</w:t>
      </w:r>
      <w:r w:rsidR="00B835CD" w:rsidRPr="00926132">
        <w:t xml:space="preserve"> </w:t>
      </w:r>
    </w:p>
    <w:p w:rsidR="00394AB6" w:rsidRDefault="00394AB6">
      <w:r>
        <w:t xml:space="preserve">The </w:t>
      </w:r>
      <w:proofErr w:type="spellStart"/>
      <w:r>
        <w:t>DpUEs</w:t>
      </w:r>
      <w:proofErr w:type="spellEnd"/>
      <w:r>
        <w:t xml:space="preserve"> obtained from both programmes</w:t>
      </w:r>
      <w:r w:rsidR="00F40AB6">
        <w:t xml:space="preserve"> are shown on figure 1. Both programmes show the same increase but the absolute differences are great.</w:t>
      </w:r>
      <w:r w:rsidR="00E354AF">
        <w:t xml:space="preserve"> It is important to note that these </w:t>
      </w:r>
      <w:proofErr w:type="spellStart"/>
      <w:r w:rsidR="00E354AF">
        <w:t>DpUEs</w:t>
      </w:r>
      <w:proofErr w:type="spellEnd"/>
      <w:r w:rsidR="00E354AF">
        <w:t xml:space="preserve"> are based on a low number of observations.</w:t>
      </w:r>
    </w:p>
    <w:p w:rsidR="00E354AF" w:rsidRDefault="00F40AB6" w:rsidP="00E354AF">
      <w:pPr>
        <w:keepNext/>
      </w:pPr>
      <w:r>
        <w:rPr>
          <w:noProof/>
          <w:lang w:eastAsia="en-GB"/>
        </w:rPr>
        <w:drawing>
          <wp:inline distT="0" distB="0" distL="0" distR="0" wp14:anchorId="559FB9D9" wp14:editId="66BD9AAF">
            <wp:extent cx="5400000" cy="3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00" cy="3304762"/>
                    </a:xfrm>
                    <a:prstGeom prst="rect">
                      <a:avLst/>
                    </a:prstGeom>
                  </pic:spPr>
                </pic:pic>
              </a:graphicData>
            </a:graphic>
          </wp:inline>
        </w:drawing>
      </w:r>
    </w:p>
    <w:p w:rsidR="00394AB6" w:rsidRDefault="00E354AF" w:rsidP="00E354AF">
      <w:pPr>
        <w:pStyle w:val="Caption"/>
      </w:pPr>
      <w:r>
        <w:t xml:space="preserve">Figure </w:t>
      </w:r>
      <w:fldSimple w:instr=" SEQ Figure \* ARABIC ">
        <w:r>
          <w:rPr>
            <w:noProof/>
          </w:rPr>
          <w:t>1</w:t>
        </w:r>
      </w:fldSimple>
      <w:r>
        <w:t xml:space="preserve">: </w:t>
      </w:r>
      <w:proofErr w:type="spellStart"/>
      <w:r>
        <w:t>DpUEs</w:t>
      </w:r>
      <w:proofErr w:type="spellEnd"/>
      <w:r>
        <w:t xml:space="preserve"> of both discard monitoring programmes (self-sampling: dashed line, and observer: solid line). Number of observations (trips sampled) per year are shown.</w:t>
      </w:r>
    </w:p>
    <w:p w:rsidR="000C0D62" w:rsidRDefault="000C0D62" w:rsidP="000C0D62">
      <w:r>
        <w:t xml:space="preserve">Figure 2 shows the </w:t>
      </w:r>
      <w:proofErr w:type="spellStart"/>
      <w:r>
        <w:t>DpUE</w:t>
      </w:r>
      <w:proofErr w:type="spellEnd"/>
      <w:r>
        <w:t xml:space="preserve"> from the different monitoring programmes processed per quarter</w:t>
      </w:r>
      <w:r w:rsidR="00A11E65">
        <w:t>. Per quarter the number of observations are even lower and this makes comparing both programmes difficult.</w:t>
      </w:r>
      <w:bookmarkStart w:id="0" w:name="_GoBack"/>
      <w:bookmarkEnd w:id="0"/>
    </w:p>
    <w:p w:rsidR="000C0D62" w:rsidRPr="000C0D62" w:rsidRDefault="000C0D62" w:rsidP="000C0D62">
      <w:r>
        <w:rPr>
          <w:noProof/>
          <w:lang w:eastAsia="en-GB"/>
        </w:rPr>
        <w:lastRenderedPageBreak/>
        <w:drawing>
          <wp:inline distT="0" distB="0" distL="0" distR="0" wp14:anchorId="0E68C813" wp14:editId="44E5A971">
            <wp:extent cx="5760720" cy="308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88640"/>
                    </a:xfrm>
                    <a:prstGeom prst="rect">
                      <a:avLst/>
                    </a:prstGeom>
                  </pic:spPr>
                </pic:pic>
              </a:graphicData>
            </a:graphic>
          </wp:inline>
        </w:drawing>
      </w:r>
    </w:p>
    <w:p w:rsidR="003A286F" w:rsidRDefault="00B835CD">
      <w:r w:rsidRPr="00926132">
        <w:t>Since 2009, the</w:t>
      </w:r>
      <w:r w:rsidR="00935FFF">
        <w:t xml:space="preserve"> Dutch</w:t>
      </w:r>
      <w:r w:rsidRPr="00926132">
        <w:t xml:space="preserve"> fleet has transitioned to i</w:t>
      </w:r>
      <w:r w:rsidR="00CA73AF" w:rsidRPr="00926132">
        <w:t xml:space="preserve">nnovative gear types, replacing the beam with a wing design and replacing the tickler chains with </w:t>
      </w:r>
      <w:r w:rsidR="001C0040" w:rsidRPr="00926132">
        <w:t>pulse</w:t>
      </w:r>
      <w:r w:rsidR="00935FFF">
        <w:t xml:space="preserve"> electrodes for</w:t>
      </w:r>
      <w:r w:rsidR="001C0040" w:rsidRPr="00926132">
        <w:t xml:space="preserve"> stimuli. These changes may result in different catchabilities which is why they are </w:t>
      </w:r>
      <w:r w:rsidR="00935FFF">
        <w:t>also shown</w:t>
      </w:r>
      <w:r w:rsidR="001C0040" w:rsidRPr="00926132">
        <w:t xml:space="preserve"> separately to investigate the differences.</w:t>
      </w:r>
      <w:r w:rsidR="00A11E65">
        <w:t xml:space="preserve"> Figure 3</w:t>
      </w:r>
      <w:r w:rsidR="00394AB6">
        <w:t xml:space="preserve"> shows the individual </w:t>
      </w:r>
      <w:proofErr w:type="spellStart"/>
      <w:r w:rsidR="00394AB6">
        <w:t>D</w:t>
      </w:r>
      <w:r w:rsidR="00A11E65">
        <w:t>pUEs</w:t>
      </w:r>
      <w:proofErr w:type="spellEnd"/>
      <w:r w:rsidR="00A11E65">
        <w:t xml:space="preserve"> for these innovations.</w:t>
      </w:r>
    </w:p>
    <w:p w:rsidR="00486282" w:rsidRDefault="00486282">
      <w:r>
        <w:rPr>
          <w:noProof/>
          <w:lang w:eastAsia="en-GB"/>
        </w:rPr>
        <w:drawing>
          <wp:inline distT="0" distB="0" distL="0" distR="0" wp14:anchorId="36C573E1" wp14:editId="191FA8B1">
            <wp:extent cx="576072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15920"/>
                    </a:xfrm>
                    <a:prstGeom prst="rect">
                      <a:avLst/>
                    </a:prstGeom>
                  </pic:spPr>
                </pic:pic>
              </a:graphicData>
            </a:graphic>
          </wp:inline>
        </w:drawing>
      </w:r>
    </w:p>
    <w:p w:rsidR="00486282" w:rsidRDefault="00486282" w:rsidP="00486282">
      <w:pPr>
        <w:pStyle w:val="Heading2"/>
        <w:rPr>
          <w:color w:val="auto"/>
        </w:rPr>
      </w:pPr>
      <w:r w:rsidRPr="00486282">
        <w:rPr>
          <w:color w:val="auto"/>
        </w:rPr>
        <w:t>T</w:t>
      </w:r>
      <w:r>
        <w:rPr>
          <w:color w:val="auto"/>
        </w:rPr>
        <w:t>ables</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960"/>
        <w:gridCol w:w="1006"/>
      </w:tblGrid>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year.x</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dpue</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prog</w:t>
            </w:r>
            <w:proofErr w:type="spellEnd"/>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0.024084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10</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0.127838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0.15486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19</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0.036285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15</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0.094552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18</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0.049958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27</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0.058782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59</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1999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0.003081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0.005477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lastRenderedPageBreak/>
              <w:t>2001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0.079465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4.50E-04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0.009375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8.98E-04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0.015583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3.04E-05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0.003767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0.00137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0.041251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0.013511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0.018722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0.014276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0.044372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r>
    </w:tbl>
    <w:p w:rsidR="00486282" w:rsidRDefault="00486282" w:rsidP="00486282"/>
    <w:tbl>
      <w:tblPr>
        <w:tblW w:w="7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18"/>
        <w:gridCol w:w="1053"/>
        <w:gridCol w:w="960"/>
        <w:gridCol w:w="1006"/>
        <w:gridCol w:w="2117"/>
      </w:tblGrid>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year.x</w:t>
            </w:r>
            <w:proofErr w:type="spellEnd"/>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gear</w:t>
            </w:r>
          </w:p>
        </w:tc>
        <w:tc>
          <w:tcPr>
            <w:tcW w:w="1053"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dpue</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prog</w:t>
            </w:r>
            <w:proofErr w:type="spellEnd"/>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group</w:t>
            </w:r>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0.024084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10</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0.127838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0.237547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0.013111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0.021113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0.053624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0.024153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6</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0.129752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0.018929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5</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0.056703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0.040846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0.062893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48</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pulse_self</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1999</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0.003081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2000</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0.005477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2001</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0.079465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2003</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4.50E-04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2004</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0.009375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2005</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8.98E-04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0.059235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0.001032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2007</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3.04E-05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2008</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0.003767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2009</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0.00137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0.06985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0.012653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0.013511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0.008137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0.02225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0.001567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0.016394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6</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0.039081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non-</w:t>
            </w:r>
            <w:proofErr w:type="spellStart"/>
            <w:r w:rsidRPr="00486282">
              <w:rPr>
                <w:rFonts w:ascii="Calibri" w:eastAsia="Times New Roman" w:hAnsi="Calibri" w:cs="Times New Roman"/>
                <w:color w:val="000000"/>
                <w:sz w:val="22"/>
                <w:lang w:eastAsia="en-GB"/>
              </w:rPr>
              <w:t>pulse_observer</w:t>
            </w:r>
            <w:proofErr w:type="spellEnd"/>
          </w:p>
        </w:tc>
      </w:tr>
      <w:tr w:rsidR="00486282" w:rsidRPr="00486282" w:rsidTr="00714557">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lastRenderedPageBreak/>
              <w:t>2016</w:t>
            </w:r>
          </w:p>
        </w:tc>
        <w:tc>
          <w:tcPr>
            <w:tcW w:w="1218"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pulse</w:t>
            </w:r>
          </w:p>
        </w:tc>
        <w:tc>
          <w:tcPr>
            <w:tcW w:w="1053"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0.047546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5</w:t>
            </w:r>
          </w:p>
        </w:tc>
        <w:tc>
          <w:tcPr>
            <w:tcW w:w="1006"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2117"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pulse_observer</w:t>
            </w:r>
            <w:proofErr w:type="spellEnd"/>
          </w:p>
        </w:tc>
      </w:tr>
    </w:tbl>
    <w:p w:rsidR="00486282" w:rsidRDefault="00486282" w:rsidP="00486282"/>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53"/>
        <w:gridCol w:w="960"/>
        <w:gridCol w:w="1006"/>
        <w:gridCol w:w="1227"/>
      </w:tblGrid>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year.x</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quar.x</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dpue</w:t>
            </w:r>
            <w:proofErr w:type="spellEnd"/>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n</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proofErr w:type="spellStart"/>
            <w:r w:rsidRPr="00486282">
              <w:rPr>
                <w:rFonts w:ascii="Calibri" w:eastAsia="Times New Roman" w:hAnsi="Calibri" w:cs="Times New Roman"/>
                <w:color w:val="000000"/>
                <w:sz w:val="22"/>
                <w:lang w:eastAsia="en-GB"/>
              </w:rPr>
              <w:t>prog</w:t>
            </w:r>
            <w:proofErr w:type="spellEnd"/>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group</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0.006215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0.026227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0.018816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0.034582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0.084318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0.351775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0.030232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0.012385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0.009433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0.180722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6</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0.187105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0.32344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0.018055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0.005026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0.041389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6</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0.061188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0.021665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0.290866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0.03531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0.049413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0.011145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9</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0.040318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7</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0.046126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0.103974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0.027291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0.139218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0.023182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0.044308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self</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4_self</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1999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0.004715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1999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0.001448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0.001168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0.00872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2000</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0.001122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0.004273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0.154658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0.001058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2.55E-04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3.69E-05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0.01184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0.004447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8.98E-04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0.001032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0.059235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lastRenderedPageBreak/>
              <w:t>2007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3.04E-05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9.15E-04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2008</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0.00662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2009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0.00137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0.00297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0.135871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0.023192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0.008964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2013</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0.018059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0.008137</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0.028029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0.01936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0.002711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0.004459</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2015</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0.040566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0.056934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1_observer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0.02761</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2_observer</w:t>
            </w:r>
          </w:p>
        </w:tc>
      </w:tr>
      <w:tr w:rsidR="00486282" w:rsidRPr="00486282" w:rsidTr="00026B9E">
        <w:trPr>
          <w:trHeight w:val="300"/>
        </w:trPr>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2016</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0.042984</w:t>
            </w:r>
          </w:p>
        </w:tc>
        <w:tc>
          <w:tcPr>
            <w:tcW w:w="960" w:type="dxa"/>
            <w:shd w:val="clear" w:color="auto" w:fill="auto"/>
            <w:noWrap/>
            <w:vAlign w:val="bottom"/>
            <w:hideMark/>
          </w:tcPr>
          <w:p w:rsidR="00486282" w:rsidRPr="00486282" w:rsidRDefault="00486282" w:rsidP="00486282">
            <w:pPr>
              <w:spacing w:after="0" w:line="240" w:lineRule="auto"/>
              <w:jc w:val="right"/>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3</w:t>
            </w:r>
          </w:p>
        </w:tc>
        <w:tc>
          <w:tcPr>
            <w:tcW w:w="960"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observer</w:t>
            </w:r>
          </w:p>
        </w:tc>
        <w:tc>
          <w:tcPr>
            <w:tcW w:w="1041" w:type="dxa"/>
            <w:shd w:val="clear" w:color="auto" w:fill="auto"/>
            <w:noWrap/>
            <w:vAlign w:val="bottom"/>
            <w:hideMark/>
          </w:tcPr>
          <w:p w:rsidR="00486282" w:rsidRPr="00486282" w:rsidRDefault="00486282" w:rsidP="00486282">
            <w:pPr>
              <w:spacing w:after="0" w:line="240" w:lineRule="auto"/>
              <w:rPr>
                <w:rFonts w:ascii="Calibri" w:eastAsia="Times New Roman" w:hAnsi="Calibri" w:cs="Times New Roman"/>
                <w:color w:val="000000"/>
                <w:sz w:val="22"/>
                <w:lang w:eastAsia="en-GB"/>
              </w:rPr>
            </w:pPr>
            <w:r w:rsidRPr="00486282">
              <w:rPr>
                <w:rFonts w:ascii="Calibri" w:eastAsia="Times New Roman" w:hAnsi="Calibri" w:cs="Times New Roman"/>
                <w:color w:val="000000"/>
                <w:sz w:val="22"/>
                <w:lang w:eastAsia="en-GB"/>
              </w:rPr>
              <w:t>4_observer</w:t>
            </w:r>
          </w:p>
        </w:tc>
      </w:tr>
    </w:tbl>
    <w:p w:rsidR="00486282" w:rsidRDefault="00486282" w:rsidP="00486282"/>
    <w:p w:rsidR="00486282" w:rsidRDefault="00486282" w:rsidP="00486282"/>
    <w:p w:rsidR="00486282" w:rsidRDefault="00486282" w:rsidP="00486282"/>
    <w:p w:rsidR="00486282" w:rsidRDefault="00486282" w:rsidP="00486282"/>
    <w:p w:rsidR="00486282" w:rsidRPr="00486282" w:rsidRDefault="00486282" w:rsidP="00486282"/>
    <w:p w:rsidR="00B44A52" w:rsidRPr="00926132" w:rsidRDefault="00926132" w:rsidP="000C0D62">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3576320</wp:posOffset>
                </wp:positionH>
                <wp:positionV relativeFrom="paragraph">
                  <wp:posOffset>8197215</wp:posOffset>
                </wp:positionV>
                <wp:extent cx="2360930" cy="1404620"/>
                <wp:effectExtent l="0" t="0" r="63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26132" w:rsidRDefault="00926132">
                            <w:r>
                              <w:t xml:space="preserve">Figure 3. Spatial distribution of the </w:t>
                            </w:r>
                            <w:proofErr w:type="spellStart"/>
                            <w:r>
                              <w:t>puls</w:t>
                            </w:r>
                            <w:proofErr w:type="spellEnd"/>
                            <w:r>
                              <w:t>, sumwing and traditional beamtrawl fleet over the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1.6pt;margin-top:645.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" stroked="f">
                <v:textbox style="mso-fit-shape-to-text:t">
                  <w:txbxContent>
                    <w:p w:rsidR="00926132" w:rsidRDefault="00926132">
                      <w:r>
                        <w:t xml:space="preserve">Figure 3. Spatial distribution of the </w:t>
                      </w:r>
                      <w:proofErr w:type="spellStart"/>
                      <w:r>
                        <w:t>puls</w:t>
                      </w:r>
                      <w:proofErr w:type="spellEnd"/>
                      <w:r>
                        <w:t>, sumwing and traditional beamtrawl fleet over the years</w:t>
                      </w:r>
                    </w:p>
                  </w:txbxContent>
                </v:textbox>
              </v:shape>
            </w:pict>
          </mc:Fallback>
        </mc:AlternateContent>
      </w:r>
    </w:p>
    <w:sectPr w:rsidR="00B44A52" w:rsidRPr="00926132" w:rsidSect="001C0040">
      <w:pgSz w:w="11906" w:h="16838"/>
      <w:pgMar w:top="709"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06"/>
    <w:rsid w:val="00012048"/>
    <w:rsid w:val="00026B9E"/>
    <w:rsid w:val="000A53F0"/>
    <w:rsid w:val="000C0D62"/>
    <w:rsid w:val="001C0040"/>
    <w:rsid w:val="001C6525"/>
    <w:rsid w:val="002316D7"/>
    <w:rsid w:val="002963AB"/>
    <w:rsid w:val="00394AB6"/>
    <w:rsid w:val="003A286F"/>
    <w:rsid w:val="00486282"/>
    <w:rsid w:val="004B20A3"/>
    <w:rsid w:val="00540826"/>
    <w:rsid w:val="00554F30"/>
    <w:rsid w:val="005677FD"/>
    <w:rsid w:val="00606369"/>
    <w:rsid w:val="006375A2"/>
    <w:rsid w:val="006A551C"/>
    <w:rsid w:val="00701680"/>
    <w:rsid w:val="0071284D"/>
    <w:rsid w:val="00714557"/>
    <w:rsid w:val="0074261B"/>
    <w:rsid w:val="007E238D"/>
    <w:rsid w:val="008A1033"/>
    <w:rsid w:val="00926132"/>
    <w:rsid w:val="00935FFF"/>
    <w:rsid w:val="009539C6"/>
    <w:rsid w:val="00967D0F"/>
    <w:rsid w:val="00A11E65"/>
    <w:rsid w:val="00B44A52"/>
    <w:rsid w:val="00B835CD"/>
    <w:rsid w:val="00BA74AE"/>
    <w:rsid w:val="00BF7DA5"/>
    <w:rsid w:val="00C02506"/>
    <w:rsid w:val="00C6130B"/>
    <w:rsid w:val="00C627F8"/>
    <w:rsid w:val="00C644E5"/>
    <w:rsid w:val="00CA73AF"/>
    <w:rsid w:val="00D51FA2"/>
    <w:rsid w:val="00DC406F"/>
    <w:rsid w:val="00DE43C8"/>
    <w:rsid w:val="00E31CD0"/>
    <w:rsid w:val="00E354AF"/>
    <w:rsid w:val="00E53B9A"/>
    <w:rsid w:val="00F04F93"/>
    <w:rsid w:val="00F40AB6"/>
    <w:rsid w:val="00F40C6E"/>
    <w:rsid w:val="00F867BE"/>
    <w:rsid w:val="00FB1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2040"/>
  <w15:chartTrackingRefBased/>
  <w15:docId w15:val="{4134AB21-5349-443D-8F92-5B7AD334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5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35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506"/>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29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63AB"/>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835C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83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5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35C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4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51FA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74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61B"/>
    <w:rPr>
      <w:rFonts w:ascii="Segoe UI" w:hAnsi="Segoe UI" w:cs="Segoe UI"/>
      <w:sz w:val="18"/>
      <w:szCs w:val="18"/>
    </w:rPr>
  </w:style>
  <w:style w:type="paragraph" w:styleId="Caption">
    <w:name w:val="caption"/>
    <w:basedOn w:val="Normal"/>
    <w:next w:val="Normal"/>
    <w:uiPriority w:val="35"/>
    <w:unhideWhenUsed/>
    <w:qFormat/>
    <w:rsid w:val="00E35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2713">
      <w:bodyDiv w:val="1"/>
      <w:marLeft w:val="0"/>
      <w:marRight w:val="0"/>
      <w:marTop w:val="0"/>
      <w:marBottom w:val="0"/>
      <w:divBdr>
        <w:top w:val="none" w:sz="0" w:space="0" w:color="auto"/>
        <w:left w:val="none" w:sz="0" w:space="0" w:color="auto"/>
        <w:bottom w:val="none" w:sz="0" w:space="0" w:color="auto"/>
        <w:right w:val="none" w:sz="0" w:space="0" w:color="auto"/>
      </w:divBdr>
    </w:div>
    <w:div w:id="342321073">
      <w:bodyDiv w:val="1"/>
      <w:marLeft w:val="0"/>
      <w:marRight w:val="0"/>
      <w:marTop w:val="0"/>
      <w:marBottom w:val="0"/>
      <w:divBdr>
        <w:top w:val="none" w:sz="0" w:space="0" w:color="auto"/>
        <w:left w:val="none" w:sz="0" w:space="0" w:color="auto"/>
        <w:bottom w:val="none" w:sz="0" w:space="0" w:color="auto"/>
        <w:right w:val="none" w:sz="0" w:space="0" w:color="auto"/>
      </w:divBdr>
    </w:div>
    <w:div w:id="451049674">
      <w:bodyDiv w:val="1"/>
      <w:marLeft w:val="0"/>
      <w:marRight w:val="0"/>
      <w:marTop w:val="0"/>
      <w:marBottom w:val="0"/>
      <w:divBdr>
        <w:top w:val="none" w:sz="0" w:space="0" w:color="auto"/>
        <w:left w:val="none" w:sz="0" w:space="0" w:color="auto"/>
        <w:bottom w:val="none" w:sz="0" w:space="0" w:color="auto"/>
        <w:right w:val="none" w:sz="0" w:space="0" w:color="auto"/>
      </w:divBdr>
    </w:div>
    <w:div w:id="612790622">
      <w:bodyDiv w:val="1"/>
      <w:marLeft w:val="0"/>
      <w:marRight w:val="0"/>
      <w:marTop w:val="0"/>
      <w:marBottom w:val="0"/>
      <w:divBdr>
        <w:top w:val="none" w:sz="0" w:space="0" w:color="auto"/>
        <w:left w:val="none" w:sz="0" w:space="0" w:color="auto"/>
        <w:bottom w:val="none" w:sz="0" w:space="0" w:color="auto"/>
        <w:right w:val="none" w:sz="0" w:space="0" w:color="auto"/>
      </w:divBdr>
    </w:div>
    <w:div w:id="852382179">
      <w:bodyDiv w:val="1"/>
      <w:marLeft w:val="0"/>
      <w:marRight w:val="0"/>
      <w:marTop w:val="0"/>
      <w:marBottom w:val="0"/>
      <w:divBdr>
        <w:top w:val="none" w:sz="0" w:space="0" w:color="auto"/>
        <w:left w:val="none" w:sz="0" w:space="0" w:color="auto"/>
        <w:bottom w:val="none" w:sz="0" w:space="0" w:color="auto"/>
        <w:right w:val="none" w:sz="0" w:space="0" w:color="auto"/>
      </w:divBdr>
    </w:div>
    <w:div w:id="967273435">
      <w:bodyDiv w:val="1"/>
      <w:marLeft w:val="0"/>
      <w:marRight w:val="0"/>
      <w:marTop w:val="0"/>
      <w:marBottom w:val="0"/>
      <w:divBdr>
        <w:top w:val="none" w:sz="0" w:space="0" w:color="auto"/>
        <w:left w:val="none" w:sz="0" w:space="0" w:color="auto"/>
        <w:bottom w:val="none" w:sz="0" w:space="0" w:color="auto"/>
        <w:right w:val="none" w:sz="0" w:space="0" w:color="auto"/>
      </w:divBdr>
    </w:div>
    <w:div w:id="968826010">
      <w:bodyDiv w:val="1"/>
      <w:marLeft w:val="0"/>
      <w:marRight w:val="0"/>
      <w:marTop w:val="0"/>
      <w:marBottom w:val="0"/>
      <w:divBdr>
        <w:top w:val="none" w:sz="0" w:space="0" w:color="auto"/>
        <w:left w:val="none" w:sz="0" w:space="0" w:color="auto"/>
        <w:bottom w:val="none" w:sz="0" w:space="0" w:color="auto"/>
        <w:right w:val="none" w:sz="0" w:space="0" w:color="auto"/>
      </w:divBdr>
    </w:div>
    <w:div w:id="1032803183">
      <w:bodyDiv w:val="1"/>
      <w:marLeft w:val="0"/>
      <w:marRight w:val="0"/>
      <w:marTop w:val="0"/>
      <w:marBottom w:val="0"/>
      <w:divBdr>
        <w:top w:val="none" w:sz="0" w:space="0" w:color="auto"/>
        <w:left w:val="none" w:sz="0" w:space="0" w:color="auto"/>
        <w:bottom w:val="none" w:sz="0" w:space="0" w:color="auto"/>
        <w:right w:val="none" w:sz="0" w:space="0" w:color="auto"/>
      </w:divBdr>
    </w:div>
    <w:div w:id="1249386553">
      <w:bodyDiv w:val="1"/>
      <w:marLeft w:val="0"/>
      <w:marRight w:val="0"/>
      <w:marTop w:val="0"/>
      <w:marBottom w:val="0"/>
      <w:divBdr>
        <w:top w:val="none" w:sz="0" w:space="0" w:color="auto"/>
        <w:left w:val="none" w:sz="0" w:space="0" w:color="auto"/>
        <w:bottom w:val="none" w:sz="0" w:space="0" w:color="auto"/>
        <w:right w:val="none" w:sz="0" w:space="0" w:color="auto"/>
      </w:divBdr>
    </w:div>
    <w:div w:id="1555896187">
      <w:bodyDiv w:val="1"/>
      <w:marLeft w:val="0"/>
      <w:marRight w:val="0"/>
      <w:marTop w:val="0"/>
      <w:marBottom w:val="0"/>
      <w:divBdr>
        <w:top w:val="none" w:sz="0" w:space="0" w:color="auto"/>
        <w:left w:val="none" w:sz="0" w:space="0" w:color="auto"/>
        <w:bottom w:val="none" w:sz="0" w:space="0" w:color="auto"/>
        <w:right w:val="none" w:sz="0" w:space="0" w:color="auto"/>
      </w:divBdr>
    </w:div>
    <w:div w:id="1854342588">
      <w:bodyDiv w:val="1"/>
      <w:marLeft w:val="0"/>
      <w:marRight w:val="0"/>
      <w:marTop w:val="0"/>
      <w:marBottom w:val="0"/>
      <w:divBdr>
        <w:top w:val="none" w:sz="0" w:space="0" w:color="auto"/>
        <w:left w:val="none" w:sz="0" w:space="0" w:color="auto"/>
        <w:bottom w:val="none" w:sz="0" w:space="0" w:color="auto"/>
        <w:right w:val="none" w:sz="0" w:space="0" w:color="auto"/>
      </w:divBdr>
    </w:div>
    <w:div w:id="19501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F6B57BAB.dotm</Template>
  <TotalTime>93</TotalTime>
  <Pages>1</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 Jan Jaap</dc:creator>
  <cp:keywords/>
  <dc:description/>
  <cp:lastModifiedBy>Verkempynck, Ruben</cp:lastModifiedBy>
  <cp:revision>18</cp:revision>
  <dcterms:created xsi:type="dcterms:W3CDTF">2017-08-18T14:24:00Z</dcterms:created>
  <dcterms:modified xsi:type="dcterms:W3CDTF">2017-08-18T15:56:00Z</dcterms:modified>
</cp:coreProperties>
</file>