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03"/>
        <w:gridCol w:w="2440"/>
        <w:gridCol w:w="2661"/>
        <w:gridCol w:w="2673"/>
        <w:gridCol w:w="1768"/>
        <w:gridCol w:w="2074"/>
        <w:gridCol w:w="2428"/>
        <w:gridCol w:w="3052"/>
        <w:gridCol w:w="2000"/>
        <w:gridCol w:w="2453"/>
        <w:gridCol w:w="1389"/>
        <w:gridCol w:w="826"/>
        <w:gridCol w:w="973"/>
        <w:gridCol w:w="1364"/>
        <w:gridCol w:w="875"/>
      </w:tblGrid>
      <w:tr>
        <w:trPr>
          <w:cantSplit/>
          <w:trHeight w:val="457"/>
          <w:tblHeader/>
        </w:trPr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StockKeyLabel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StockKeyDescription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SpeciesScientificName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SpeciesCommonName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DataCategory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AssessmentYear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AdviceCategory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lineDescription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FishingPressure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Ecoregion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StockSize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SBL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D3C1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D3C2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GES</w:t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bll.27.22-32</w:t>
            </w:r>
          </w:p>
        </w:tc>
        <w:tc>
          <w:tcPr>
            <w:vMerge w:val="restart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</w:t>
            </w:r>
          </w:p>
        </w:tc>
        <w:tc>
          <w:tcPr>
            <w:vMerge w:val="restart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PA/Stock status only</w:t>
            </w:r>
          </w:p>
        </w:tc>
        <w:tc>
          <w:tcPr>
            <w:vMerge w:val="restart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cod.27.22-24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ORANGE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ORANGE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cod.27.24-32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dab.27.22-32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PA/Stock status only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fle.27.2223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PA/Stock status only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fle.27.2425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PA/Stock status only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fle.27.2628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PA/Stock status only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fle.27.2729-32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PA/Stock status only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her.27.20-24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MSY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pelagic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her.27.20-24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MSY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Precautionary approach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pelagic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her.27.25-2932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her.27.28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her.27.3031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ple.27.21-23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benthic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ple.27.21-23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Precautionary approach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benthic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ple.27.24-32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sol.27.20-24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MSY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benthic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sol.27.20-24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MSY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Precautionary approach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benthic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spr.27.22-32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FMSY Ranges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tur.27.22-32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PA/Stock status only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grey_q.png"/><Relationship Id="rId9" Type="http://schemas.openxmlformats.org/officeDocument/2006/relationships/image" Target="media/red_cross.png"/><Relationship Id="rId10" Type="http://schemas.openxmlformats.org/officeDocument/2006/relationships/image" Target="media/green_check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2019-10-18T14:36:12Z</dcterms:modified>
  <cp:category/>
</cp:coreProperties>
</file>