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03"/>
        <w:gridCol w:w="2440"/>
        <w:gridCol w:w="2661"/>
        <w:gridCol w:w="2673"/>
        <w:gridCol w:w="1768"/>
        <w:gridCol w:w="2074"/>
        <w:gridCol w:w="2428"/>
        <w:gridCol w:w="3052"/>
        <w:gridCol w:w="2000"/>
        <w:gridCol w:w="2453"/>
        <w:gridCol w:w="1389"/>
        <w:gridCol w:w="826"/>
        <w:gridCol w:w="973"/>
        <w:gridCol w:w="1364"/>
        <w:gridCol w:w="875"/>
      </w:tblGrid>
      <w:tr>
        <w:trPr>
          <w:cantSplit/>
          <w:trHeight w:val="457"/>
          <w:tblHeader/>
        </w:trPr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StockKeyLabel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SpeciesScientificName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SpeciesCommonName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DataCategory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AssessmentYear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AdviceCategory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lineDescription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FishingPressure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StockSize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SBL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GES</w:t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bll.27.22-32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cod.27.22-24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dab.27.22-32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fle.27.2223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fle.27.2425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fle.27.2628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fle.27.2729-32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her.27.25-2932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her.27.3031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FMSY Ranges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grey_q.png"/><Relationship Id="rId9" Type="http://schemas.openxmlformats.org/officeDocument/2006/relationships/image" Target="media/red_cross.png"/><Relationship Id="rId10" Type="http://schemas.openxmlformats.org/officeDocument/2006/relationships/image" Target="media/green_check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2019-10-18T13:51:29Z</dcterms:modified>
  <cp:category/>
</cp:coreProperties>
</file>