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03"/>
        <w:gridCol w:w="2440"/>
        <w:gridCol w:w="2661"/>
        <w:gridCol w:w="2673"/>
        <w:gridCol w:w="1768"/>
        <w:gridCol w:w="2074"/>
        <w:gridCol w:w="2428"/>
        <w:gridCol w:w="3052"/>
        <w:gridCol w:w="2000"/>
        <w:gridCol w:w="5424"/>
        <w:gridCol w:w="1389"/>
        <w:gridCol w:w="826"/>
        <w:gridCol w:w="973"/>
        <w:gridCol w:w="1364"/>
        <w:gridCol w:w="875"/>
      </w:tblGrid>
      <w:tr>
        <w:trPr>
          <w:cantSplit/>
          <w:trHeight w:val="457"/>
          <w:tblHeader/>
        </w:trPr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StockKeyLabel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SpeciesScientificName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SpeciesCommonName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DataCategory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AssessmentYear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AdviceCategory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lineDescription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FishingPressure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StockSize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SBL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GES</w:t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bll.27.22-32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cod.27.22-24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dab.27.22-32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fle.27.2223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fle.27.2425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fle.27.2628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fle.27.2729-32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her.27.20-24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Ecoregion, Greater North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Ecoregion, Greater North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her.27.25-2932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her.27.3031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ple.27.21-23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Ecoregion, Greater North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Ecoregion, Greater North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sol.27.20-24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Ecoregion, Greater North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Ecoregion, Greater North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FMSY Ranges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grey_q.png"/><Relationship Id="rId9" Type="http://schemas.openxmlformats.org/officeDocument/2006/relationships/image" Target="media/red_cross.png"/><Relationship Id="rId10" Type="http://schemas.openxmlformats.org/officeDocument/2006/relationships/image" Target="media/green_check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2019-10-18T18:48:11Z</dcterms:modified>
  <cp:category/>
</cp:coreProperties>
</file>