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Relationship Target="docProps/custom.xml" Type="http://schemas.openxmlformats.org/officeDocument/2006/relationships/custom-properties" Id="rId4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2162a84" w14:textId="32162a84">
      <w:pPr>
        <w:pBdr/>
        <w:spacing w:before="20" w:after="20"/>
        <w:ind w:left="20" w:right="20"/>
        <w:jc w:val="both"/>
        <w15:collapsed w:val="false"/>
      </w:pPr>
      <w:bookmarkStart w:name="ADVICE_HEADING" w:id="0"/>
      <w:r/>
      <w:bookmarkEnd w:id="0"/>
      <w:r>
        <w:rPr>
          <w:rFonts w:ascii="Calibri" w:hAnsi="Calibri" w:cs="Calibri"/>
          <w:b w:val="true"/>
          <w:color w:val="000000"/>
          <w:sz w:val="22"/>
        </w:rPr>
        <w:t xml:space="preserve">6.3.9</w:t>
      </w:r>
      <w:r>
        <w:rPr>
          <w:rFonts w:ascii="Times New Roman" w:hAnsi="Times New Roman" w:cs="Times New Roman"/>
          <w:color w:val="000000"/>
          <w:sz w:val="22"/>
        </w:rPr>
        <w:t xml:space="preserve">	</w:t>
      </w:r>
      <w:r>
        <w:rPr>
          <w:rFonts w:ascii="Calibri" w:hAnsi="Calibri" w:cs="Calibri"/>
          <w:b w:val="true"/>
          <w:color w:val="000000"/>
          <w:sz w:val="22"/>
        </w:rPr>
        <w:t xml:space="preserve">Grey gurnard (Eutrigla gurnardus) in Subarea IV and Divisions VIId and IIIa (North Sea, Eastern English Channel, Skagerrak and Kattegat)</w:t>
      </w:r>
    </w:p>
    <w:p w:rsidRPr="00940EEE" w:rsidR="00F33839" w:rsidP="00153675" w:rsidRDefault="00153675" w14:paraId="4836F0ED" w14:textId="3A66D30C">
      <w:pPr>
        <w:tabs>
          <w:tab w:val="left" w:pos="8960"/>
        </w:tabs>
        <w:spacing w:after="0" w:line="240" w:lineRule="auto"/>
        <w:jc w:val="both"/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ab/>
      </w:r>
    </w:p>
    <w:p w:rsidRPr="00940EEE" w:rsidR="008E07C5" w:rsidP="006A4DA0" w:rsidRDefault="008E07C5" w14:paraId="4836F0EE" w14:textId="77777777">
      <w:pPr>
        <w:pStyle w:val="Hheading3"/>
        <w:shd w:val="clear" w:color="auto" w:fill="9AC2B7"/>
        <w:spacing w:before="0" w:after="0"/>
        <w:jc w:val="both"/>
        <w:rPr>
          <w:rFonts w:asciiTheme="minorHAnsi" w:hAnsiTheme="minorHAnsi"/>
          <w:sz w:val="20"/>
          <w:szCs w:val="20"/>
        </w:rPr>
      </w:pPr>
      <w:r w:rsidRPr="00940EEE">
        <w:rPr>
          <w:rFonts w:asciiTheme="minorHAnsi" w:hAnsiTheme="minorHAnsi"/>
          <w:sz w:val="20"/>
          <w:szCs w:val="20"/>
        </w:rPr>
        <w:t xml:space="preserve">ICES </w:t>
      </w:r>
      <w:r w:rsidRPr="00940EEE" w:rsidR="00742D29">
        <w:rPr>
          <w:rFonts w:asciiTheme="minorHAnsi" w:hAnsiTheme="minorHAnsi"/>
          <w:sz w:val="20"/>
          <w:szCs w:val="20"/>
        </w:rPr>
        <w:t>stock</w:t>
      </w:r>
      <w:r w:rsidR="007E1719">
        <w:rPr>
          <w:rFonts w:asciiTheme="minorHAnsi" w:hAnsiTheme="minorHAnsi"/>
          <w:sz w:val="20"/>
          <w:szCs w:val="20"/>
        </w:rPr>
        <w:t xml:space="preserve"> advice</w:t>
      </w:r>
    </w:p>
    <w:p w:rsidRPr="00780595" w:rsidR="00780595" w:rsidP="00742D29" w:rsidRDefault="00780595" w14:paraId="4836F0EF" w14:textId="77777777">
      <w:pPr>
        <w:spacing w:after="0" w:line="240" w:lineRule="auto"/>
        <w:jc w:val="both"/>
        <w:rPr>
          <w:rFonts w:cs="Times New Roman"/>
          <w:sz w:val="18"/>
          <w:szCs w:val="18"/>
          <w:lang w:val="en-US"/>
        </w:rPr>
      </w:pPr>
    </w:p>
    <w:p w:rsidR="00632161" w:rsidP="00742D29" w:rsidRDefault="0077088A" w14:paraId="56FB21DF" w14:textId="144050DD">
      <w:pPr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commentRangeStart w:id="1"/>
      <w:r w:rsidRPr="0077088A">
        <w:rPr>
          <w:rFonts w:cs="Times New Roman"/>
          <w:sz w:val="20"/>
          <w:szCs w:val="20"/>
          <w:lang w:val="en-US"/>
        </w:rPr>
        <w:t xml:space="preserve">Lorem ipsum dolor sit </w:t>
      </w:r>
      <w:proofErr w:type="spellStart"/>
      <w:r w:rsidRPr="0077088A">
        <w:rPr>
          <w:rFonts w:cs="Times New Roman"/>
          <w:sz w:val="20"/>
          <w:szCs w:val="20"/>
          <w:lang w:val="en-US"/>
        </w:rPr>
        <w:t>amet</w:t>
      </w:r>
      <w:proofErr w:type="spellEnd"/>
      <w:r w:rsidRPr="0077088A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77088A">
        <w:rPr>
          <w:rFonts w:cs="Times New Roman"/>
          <w:sz w:val="20"/>
          <w:szCs w:val="20"/>
          <w:lang w:val="en-US"/>
        </w:rPr>
        <w:t>consectetuer</w:t>
      </w:r>
      <w:proofErr w:type="spellEnd"/>
      <w:r w:rsidRPr="0077088A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7088A">
        <w:rPr>
          <w:rFonts w:cs="Times New Roman"/>
          <w:sz w:val="20"/>
          <w:szCs w:val="20"/>
          <w:lang w:val="en-US"/>
        </w:rPr>
        <w:t>adipiscing</w:t>
      </w:r>
      <w:proofErr w:type="spellEnd"/>
      <w:r w:rsidRPr="0077088A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7088A">
        <w:rPr>
          <w:rFonts w:cs="Times New Roman"/>
          <w:sz w:val="20"/>
          <w:szCs w:val="20"/>
          <w:lang w:val="en-US"/>
        </w:rPr>
        <w:t>elit</w:t>
      </w:r>
      <w:proofErr w:type="spellEnd"/>
      <w:r w:rsidRPr="0077088A">
        <w:rPr>
          <w:rFonts w:cs="Times New Roman"/>
          <w:sz w:val="20"/>
          <w:szCs w:val="20"/>
          <w:lang w:val="en-US"/>
        </w:rPr>
        <w:t xml:space="preserve">. </w:t>
      </w:r>
      <w:proofErr w:type="spellStart"/>
      <w:r w:rsidRPr="0077088A">
        <w:rPr>
          <w:rFonts w:cs="Times New Roman"/>
          <w:sz w:val="20"/>
          <w:szCs w:val="20"/>
          <w:lang w:val="en-US"/>
        </w:rPr>
        <w:t>Aenean</w:t>
      </w:r>
      <w:proofErr w:type="spellEnd"/>
      <w:r w:rsidRPr="0077088A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7088A">
        <w:rPr>
          <w:rFonts w:cs="Times New Roman"/>
          <w:sz w:val="20"/>
          <w:szCs w:val="20"/>
          <w:lang w:val="en-US"/>
        </w:rPr>
        <w:t>commodo</w:t>
      </w:r>
      <w:proofErr w:type="spellEnd"/>
      <w:r w:rsidRPr="0077088A">
        <w:rPr>
          <w:rFonts w:cs="Times New Roman"/>
          <w:sz w:val="20"/>
          <w:szCs w:val="20"/>
          <w:lang w:val="en-US"/>
        </w:rPr>
        <w:t xml:space="preserve"> ligula </w:t>
      </w:r>
      <w:proofErr w:type="spellStart"/>
      <w:r w:rsidRPr="0077088A">
        <w:rPr>
          <w:rFonts w:cs="Times New Roman"/>
          <w:sz w:val="20"/>
          <w:szCs w:val="20"/>
          <w:lang w:val="en-US"/>
        </w:rPr>
        <w:t>eget</w:t>
      </w:r>
      <w:proofErr w:type="spellEnd"/>
      <w:r w:rsidRPr="0077088A">
        <w:rPr>
          <w:rFonts w:cs="Times New Roman"/>
          <w:sz w:val="20"/>
          <w:szCs w:val="20"/>
          <w:lang w:val="en-US"/>
        </w:rPr>
        <w:t xml:space="preserve"> dolor. </w:t>
      </w:r>
      <w:proofErr w:type="spellStart"/>
      <w:r w:rsidRPr="0077088A">
        <w:rPr>
          <w:rFonts w:cs="Times New Roman"/>
          <w:sz w:val="20"/>
          <w:szCs w:val="20"/>
          <w:lang w:val="en-US"/>
        </w:rPr>
        <w:t>Aenean</w:t>
      </w:r>
      <w:proofErr w:type="spellEnd"/>
      <w:r w:rsidRPr="0077088A">
        <w:rPr>
          <w:rFonts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77088A">
        <w:rPr>
          <w:rFonts w:cs="Times New Roman"/>
          <w:sz w:val="20"/>
          <w:szCs w:val="20"/>
          <w:lang w:val="en-US"/>
        </w:rPr>
        <w:t>massa</w:t>
      </w:r>
      <w:proofErr w:type="spellEnd"/>
      <w:proofErr w:type="gramEnd"/>
      <w:r w:rsidRPr="0077088A">
        <w:rPr>
          <w:rFonts w:cs="Times New Roman"/>
          <w:sz w:val="20"/>
          <w:szCs w:val="20"/>
          <w:lang w:val="en-US"/>
        </w:rPr>
        <w:t xml:space="preserve">. Cum </w:t>
      </w:r>
      <w:proofErr w:type="spellStart"/>
      <w:r w:rsidRPr="0077088A">
        <w:rPr>
          <w:rFonts w:cs="Times New Roman"/>
          <w:sz w:val="20"/>
          <w:szCs w:val="20"/>
          <w:lang w:val="en-US"/>
        </w:rPr>
        <w:t>sociis</w:t>
      </w:r>
      <w:proofErr w:type="spellEnd"/>
      <w:r w:rsidRPr="0077088A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7088A">
        <w:rPr>
          <w:rFonts w:cs="Times New Roman"/>
          <w:sz w:val="20"/>
          <w:szCs w:val="20"/>
          <w:lang w:val="en-US"/>
        </w:rPr>
        <w:t>natoque</w:t>
      </w:r>
      <w:proofErr w:type="spellEnd"/>
      <w:r w:rsidRPr="0077088A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7088A">
        <w:rPr>
          <w:rFonts w:cs="Times New Roman"/>
          <w:sz w:val="20"/>
          <w:szCs w:val="20"/>
          <w:lang w:val="en-US"/>
        </w:rPr>
        <w:t>penatibus</w:t>
      </w:r>
      <w:proofErr w:type="spellEnd"/>
      <w:r w:rsidRPr="0077088A">
        <w:rPr>
          <w:rFonts w:cs="Times New Roman"/>
          <w:sz w:val="20"/>
          <w:szCs w:val="20"/>
          <w:lang w:val="en-US"/>
        </w:rPr>
        <w:t xml:space="preserve"> </w:t>
      </w:r>
      <w:proofErr w:type="gramStart"/>
      <w:r w:rsidRPr="0077088A">
        <w:rPr>
          <w:rFonts w:cs="Times New Roman"/>
          <w:sz w:val="20"/>
          <w:szCs w:val="20"/>
          <w:lang w:val="en-US"/>
        </w:rPr>
        <w:t>et</w:t>
      </w:r>
      <w:proofErr w:type="gramEnd"/>
      <w:r w:rsidRPr="0077088A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7088A">
        <w:rPr>
          <w:rFonts w:cs="Times New Roman"/>
          <w:sz w:val="20"/>
          <w:szCs w:val="20"/>
          <w:lang w:val="en-US"/>
        </w:rPr>
        <w:t>magnis</w:t>
      </w:r>
      <w:proofErr w:type="spellEnd"/>
      <w:r w:rsidRPr="0077088A">
        <w:rPr>
          <w:rFonts w:cs="Times New Roman"/>
          <w:sz w:val="20"/>
          <w:szCs w:val="20"/>
          <w:lang w:val="en-US"/>
        </w:rPr>
        <w:t xml:space="preserve"> dis parturient </w:t>
      </w:r>
      <w:proofErr w:type="spellStart"/>
      <w:r w:rsidRPr="0077088A">
        <w:rPr>
          <w:rFonts w:cs="Times New Roman"/>
          <w:sz w:val="20"/>
          <w:szCs w:val="20"/>
          <w:lang w:val="en-US"/>
        </w:rPr>
        <w:t>montes</w:t>
      </w:r>
      <w:proofErr w:type="spellEnd"/>
      <w:r w:rsidRPr="0077088A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77088A">
        <w:rPr>
          <w:rFonts w:cs="Times New Roman"/>
          <w:sz w:val="20"/>
          <w:szCs w:val="20"/>
          <w:lang w:val="en-US"/>
        </w:rPr>
        <w:t>nascetur</w:t>
      </w:r>
      <w:commentRangeEnd w:id="1"/>
      <w:proofErr w:type="spellEnd"/>
      <w:r w:rsidR="002F779C">
        <w:rPr>
          <w:rStyle w:val="CommentReference"/>
        </w:rPr>
        <w:commentReference w:id="1"/>
      </w:r>
    </w:p>
    <w:p w:rsidRPr="00940EEE" w:rsidR="0077088A" w:rsidP="00742D29" w:rsidRDefault="0077088A" w14:paraId="026AF971" w14:textId="77777777">
      <w:pPr>
        <w:spacing w:after="0" w:line="240" w:lineRule="auto"/>
        <w:jc w:val="both"/>
        <w:rPr>
          <w:rFonts w:cs="Times New Roman"/>
          <w:sz w:val="18"/>
          <w:szCs w:val="18"/>
          <w:lang w:val="en-US"/>
        </w:rPr>
      </w:pPr>
    </w:p>
    <w:p w:rsidRPr="00940EEE" w:rsidR="0059128E" w:rsidP="006A4DA0" w:rsidRDefault="00491E22" w14:paraId="4836F0F2" w14:textId="77777777">
      <w:pPr>
        <w:shd w:val="clear" w:color="auto" w:fill="9AC2B7"/>
        <w:spacing w:after="0" w:line="240" w:lineRule="auto"/>
        <w:jc w:val="both"/>
        <w:rPr>
          <w:rFonts w:cs="Times New Roman"/>
          <w:b/>
          <w:sz w:val="20"/>
          <w:szCs w:val="20"/>
          <w:lang w:val="en-US"/>
        </w:rPr>
      </w:pPr>
      <w:r>
        <w:rPr>
          <w:rFonts w:cs="Times New Roman"/>
          <w:b/>
          <w:sz w:val="20"/>
          <w:szCs w:val="20"/>
          <w:lang w:val="en-US"/>
        </w:rPr>
        <w:t>Stock development over time</w:t>
      </w:r>
    </w:p>
    <w:p w:rsidRPr="00780595" w:rsidR="00780595" w:rsidP="0024704C" w:rsidRDefault="00780595" w14:paraId="4836F0F3" w14:textId="77777777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3F79DA" w:rsidP="00A55A22" w:rsidRDefault="0077088A" w14:paraId="20A8E392" w14:textId="182BFA32">
      <w:pPr>
        <w:spacing w:after="0" w:line="240" w:lineRule="auto"/>
        <w:jc w:val="both"/>
        <w:rPr>
          <w:sz w:val="20"/>
          <w:szCs w:val="20"/>
          <w:lang w:val="en-GB"/>
        </w:rPr>
      </w:pPr>
      <w:r w:rsidRPr="0077088A">
        <w:rPr>
          <w:sz w:val="20"/>
          <w:szCs w:val="20"/>
          <w:lang w:val="en-GB"/>
        </w:rPr>
        <w:t xml:space="preserve">Lorem ipsum </w:t>
      </w:r>
      <w:proofErr w:type="spellStart"/>
      <w:r w:rsidRPr="0077088A">
        <w:rPr>
          <w:sz w:val="20"/>
          <w:szCs w:val="20"/>
          <w:lang w:val="en-GB"/>
        </w:rPr>
        <w:t>dolor</w:t>
      </w:r>
      <w:proofErr w:type="spellEnd"/>
      <w:r w:rsidRPr="0077088A">
        <w:rPr>
          <w:sz w:val="20"/>
          <w:szCs w:val="20"/>
          <w:lang w:val="en-GB"/>
        </w:rPr>
        <w:t xml:space="preserve"> sit </w:t>
      </w:r>
      <w:proofErr w:type="spellStart"/>
      <w:r w:rsidRPr="0077088A">
        <w:rPr>
          <w:sz w:val="20"/>
          <w:szCs w:val="20"/>
          <w:lang w:val="en-GB"/>
        </w:rPr>
        <w:t>amet</w:t>
      </w:r>
      <w:proofErr w:type="spell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consectetuer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adipiscing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elit</w:t>
      </w:r>
      <w:proofErr w:type="spellEnd"/>
      <w:r w:rsidRPr="0077088A">
        <w:rPr>
          <w:sz w:val="20"/>
          <w:szCs w:val="20"/>
          <w:lang w:val="en-GB"/>
        </w:rPr>
        <w:t xml:space="preserve">. </w:t>
      </w:r>
      <w:proofErr w:type="spellStart"/>
      <w:r w:rsidRPr="0077088A">
        <w:rPr>
          <w:sz w:val="20"/>
          <w:szCs w:val="20"/>
          <w:lang w:val="en-GB"/>
        </w:rPr>
        <w:t>Aenean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commodo</w:t>
      </w:r>
      <w:proofErr w:type="spellEnd"/>
      <w:r w:rsidRPr="0077088A">
        <w:rPr>
          <w:sz w:val="20"/>
          <w:szCs w:val="20"/>
          <w:lang w:val="en-GB"/>
        </w:rPr>
        <w:t xml:space="preserve"> ligula </w:t>
      </w:r>
      <w:proofErr w:type="spellStart"/>
      <w:r w:rsidRPr="0077088A">
        <w:rPr>
          <w:sz w:val="20"/>
          <w:szCs w:val="20"/>
          <w:lang w:val="en-GB"/>
        </w:rPr>
        <w:t>eget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dolor</w:t>
      </w:r>
      <w:proofErr w:type="spellEnd"/>
      <w:r w:rsidRPr="0077088A">
        <w:rPr>
          <w:sz w:val="20"/>
          <w:szCs w:val="20"/>
          <w:lang w:val="en-GB"/>
        </w:rPr>
        <w:t xml:space="preserve">. </w:t>
      </w:r>
      <w:proofErr w:type="spellStart"/>
      <w:r w:rsidRPr="0077088A">
        <w:rPr>
          <w:sz w:val="20"/>
          <w:szCs w:val="20"/>
          <w:lang w:val="en-GB"/>
        </w:rPr>
        <w:t>Aenean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proofErr w:type="gramStart"/>
      <w:r w:rsidRPr="0077088A">
        <w:rPr>
          <w:sz w:val="20"/>
          <w:szCs w:val="20"/>
          <w:lang w:val="en-GB"/>
        </w:rPr>
        <w:t>massa</w:t>
      </w:r>
      <w:proofErr w:type="spellEnd"/>
      <w:proofErr w:type="gramEnd"/>
      <w:r w:rsidRPr="0077088A">
        <w:rPr>
          <w:sz w:val="20"/>
          <w:szCs w:val="20"/>
          <w:lang w:val="en-GB"/>
        </w:rPr>
        <w:t xml:space="preserve">. Cum </w:t>
      </w:r>
      <w:proofErr w:type="spellStart"/>
      <w:r w:rsidRPr="0077088A">
        <w:rPr>
          <w:sz w:val="20"/>
          <w:szCs w:val="20"/>
          <w:lang w:val="en-GB"/>
        </w:rPr>
        <w:t>sociis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natoque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penatibus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gramStart"/>
      <w:r w:rsidRPr="0077088A">
        <w:rPr>
          <w:sz w:val="20"/>
          <w:szCs w:val="20"/>
          <w:lang w:val="en-GB"/>
        </w:rPr>
        <w:t>et</w:t>
      </w:r>
      <w:proofErr w:type="gram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magnis</w:t>
      </w:r>
      <w:proofErr w:type="spellEnd"/>
      <w:r w:rsidRPr="0077088A">
        <w:rPr>
          <w:sz w:val="20"/>
          <w:szCs w:val="20"/>
          <w:lang w:val="en-GB"/>
        </w:rPr>
        <w:t xml:space="preserve"> dis parturient </w:t>
      </w:r>
      <w:proofErr w:type="spellStart"/>
      <w:r w:rsidRPr="0077088A">
        <w:rPr>
          <w:sz w:val="20"/>
          <w:szCs w:val="20"/>
          <w:lang w:val="en-GB"/>
        </w:rPr>
        <w:t>montes</w:t>
      </w:r>
      <w:proofErr w:type="spell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nascetur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ridiculus</w:t>
      </w:r>
      <w:proofErr w:type="spellEnd"/>
      <w:r w:rsidRPr="0077088A">
        <w:rPr>
          <w:sz w:val="20"/>
          <w:szCs w:val="20"/>
          <w:lang w:val="en-GB"/>
        </w:rPr>
        <w:t xml:space="preserve"> mus. </w:t>
      </w:r>
      <w:proofErr w:type="spellStart"/>
      <w:r w:rsidRPr="0077088A">
        <w:rPr>
          <w:sz w:val="20"/>
          <w:szCs w:val="20"/>
          <w:lang w:val="en-GB"/>
        </w:rPr>
        <w:t>Donec</w:t>
      </w:r>
      <w:proofErr w:type="spellEnd"/>
      <w:r w:rsidRPr="0077088A">
        <w:rPr>
          <w:sz w:val="20"/>
          <w:szCs w:val="20"/>
          <w:lang w:val="en-GB"/>
        </w:rPr>
        <w:t xml:space="preserve"> quam </w:t>
      </w:r>
      <w:proofErr w:type="spellStart"/>
      <w:r w:rsidRPr="0077088A">
        <w:rPr>
          <w:sz w:val="20"/>
          <w:szCs w:val="20"/>
          <w:lang w:val="en-GB"/>
        </w:rPr>
        <w:t>felis</w:t>
      </w:r>
      <w:proofErr w:type="spell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ultricies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nec</w:t>
      </w:r>
      <w:proofErr w:type="spell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pellentesque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eu</w:t>
      </w:r>
      <w:proofErr w:type="spell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pretium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quis</w:t>
      </w:r>
      <w:proofErr w:type="spellEnd"/>
      <w:r w:rsidRPr="0077088A">
        <w:rPr>
          <w:sz w:val="20"/>
          <w:szCs w:val="20"/>
          <w:lang w:val="en-GB"/>
        </w:rPr>
        <w:t xml:space="preserve">, sem. </w:t>
      </w:r>
      <w:proofErr w:type="spellStart"/>
      <w:r w:rsidRPr="0077088A">
        <w:rPr>
          <w:sz w:val="20"/>
          <w:szCs w:val="20"/>
          <w:lang w:val="en-GB"/>
        </w:rPr>
        <w:t>Nulla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consequat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massa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quis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enim</w:t>
      </w:r>
      <w:proofErr w:type="spellEnd"/>
      <w:r w:rsidRPr="0077088A">
        <w:rPr>
          <w:sz w:val="20"/>
          <w:szCs w:val="20"/>
          <w:lang w:val="en-GB"/>
        </w:rPr>
        <w:t xml:space="preserve">. </w:t>
      </w:r>
      <w:proofErr w:type="spellStart"/>
      <w:r w:rsidRPr="0077088A">
        <w:rPr>
          <w:sz w:val="20"/>
          <w:szCs w:val="20"/>
          <w:lang w:val="en-GB"/>
        </w:rPr>
        <w:t>Donec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pede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justo</w:t>
      </w:r>
      <w:proofErr w:type="spell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fringilla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vel</w:t>
      </w:r>
      <w:proofErr w:type="spell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aliquet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proofErr w:type="gramStart"/>
      <w:r w:rsidRPr="0077088A">
        <w:rPr>
          <w:sz w:val="20"/>
          <w:szCs w:val="20"/>
          <w:lang w:val="en-GB"/>
        </w:rPr>
        <w:t>nec</w:t>
      </w:r>
      <w:proofErr w:type="spellEnd"/>
      <w:proofErr w:type="gram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vulputate</w:t>
      </w:r>
      <w:proofErr w:type="spellEnd"/>
    </w:p>
    <w:p w:rsidR="0077088A" w:rsidP="00A55A22" w:rsidRDefault="0077088A" w14:paraId="6A2A06EF" w14:textId="77777777">
      <w:pPr>
        <w:spacing w:after="0" w:line="240" w:lineRule="auto"/>
        <w:jc w:val="both"/>
        <w:rPr>
          <w:sz w:val="20"/>
          <w:szCs w:val="20"/>
          <w:lang w:val="en-GB"/>
        </w:rPr>
      </w:pPr>
    </w:p>
    <w:p w:rsidR="0077088A" w:rsidP="00A55A22" w:rsidRDefault="002F779C" w14:paraId="0FF943CB" w14:textId="06AE8E02">
      <w:pPr>
        <w:spacing w:after="0" w:line="240" w:lineRule="auto"/>
        <w:jc w:val="both"/>
        <w:rPr>
          <w:sz w:val="20"/>
          <w:szCs w:val="20"/>
          <w:lang w:val="en-GB"/>
        </w:rPr>
      </w:pPr>
      <w:commentRangeStart w:id="2"/>
      <w:r>
        <w:rPr>
          <w:sz w:val="20"/>
          <w:szCs w:val="20"/>
          <w:lang w:val="en-GB"/>
        </w:rPr>
        <w:t xml:space="preserve">Insert </w:t>
      </w:r>
      <w:hyperlink w:history="true" r:id="rId12">
        <w:r w:rsidRPr="002F779C">
          <w:rPr>
            <w:rStyle w:val="Hyperlink"/>
            <w:sz w:val="20"/>
            <w:szCs w:val="20"/>
            <w:lang w:val="en-GB"/>
          </w:rPr>
          <w:t>Stock Assessment Graphs</w:t>
        </w:r>
      </w:hyperlink>
      <w:r>
        <w:rPr>
          <w:sz w:val="20"/>
          <w:szCs w:val="20"/>
          <w:lang w:val="en-GB"/>
        </w:rPr>
        <w:t xml:space="preserve"> figures here</w:t>
      </w:r>
      <w:commentRangeEnd w:id="2"/>
      <w:r>
        <w:rPr>
          <w:rStyle w:val="CommentReference"/>
        </w:rPr>
        <w:commentReference w:id="2"/>
      </w:r>
    </w:p>
    <w:p>
      <w:pPr>
        <w:pBdr/>
        <w:spacing w:before="20" w:after="20"/>
        <w:ind w:left="20" w:right="20"/>
        <w:jc w:val="left"/>
      </w:pPr>
      <w:bookmarkStart w:name="Figure_1" w:id="3"/>
      <w:r/>
      <w:bookmarkEnd w:id="3"/>
      <w:r>
        <w:rPr>
          <w:rFonts w:ascii="Calibri" w:hAnsi="Calibri" w:cs="Calibri"/>
          <w:b w:val="true"/>
          <w:color w:val="000000"/>
          <w:sz w:val="18"/>
        </w:rPr>
        <w:t xml:space="preserve">Figure 6.3.9.1	</w:t>
      </w:r>
      <w:r>
        <w:rPr>
          <w:rFonts w:ascii="Calibri" w:hAnsi="Calibri" w:cs="Calibri"/>
          <w:color w:val="000000"/>
          <w:sz w:val="18"/>
        </w:rPr>
        <w:t xml:space="preserve">Grey gurnard in Subarea IV and Divisions VIId and IIIa. Summary of stock assessment.</w:t>
      </w:r>
    </w:p>
    <w:p w:rsidRPr="0077088A" w:rsidR="0077088A" w:rsidP="0077088A" w:rsidRDefault="0077088A" w14:paraId="25445B88" w14:textId="77777777">
      <w:pPr>
        <w:spacing w:after="0"/>
        <w:rPr>
          <w:rFonts w:eastAsia="Times New Roman" w:cs="Times New Roman"/>
          <w:sz w:val="18"/>
          <w:szCs w:val="18"/>
          <w:lang w:val="en-GB"/>
        </w:rPr>
      </w:pPr>
    </w:p>
    <w:p w:rsidR="00F33839" w:rsidP="006A4DA0" w:rsidRDefault="0059128E" w14:paraId="4836F0F9" w14:textId="5F4C0B31">
      <w:pPr>
        <w:shd w:val="clear" w:color="auto" w:fill="9AC2B7"/>
        <w:spacing w:after="0" w:line="240" w:lineRule="auto"/>
        <w:jc w:val="both"/>
        <w:rPr>
          <w:rFonts w:eastAsia="Times New Roman" w:cs="Times New Roman"/>
          <w:b/>
          <w:sz w:val="20"/>
          <w:szCs w:val="20"/>
          <w:lang w:val="en-GB"/>
        </w:rPr>
      </w:pPr>
      <w:r w:rsidRPr="00940EEE">
        <w:rPr>
          <w:rFonts w:eastAsia="Times New Roman" w:cs="Times New Roman"/>
          <w:b/>
          <w:sz w:val="20"/>
          <w:szCs w:val="20"/>
          <w:lang w:val="en-GB"/>
        </w:rPr>
        <w:t xml:space="preserve">Stock </w:t>
      </w:r>
      <w:r w:rsidR="007E1719">
        <w:rPr>
          <w:rFonts w:eastAsia="Times New Roman" w:cs="Times New Roman"/>
          <w:b/>
          <w:sz w:val="20"/>
          <w:szCs w:val="20"/>
          <w:lang w:val="en-GB"/>
        </w:rPr>
        <w:t xml:space="preserve">and exploitation </w:t>
      </w:r>
      <w:r w:rsidRPr="00940EEE">
        <w:rPr>
          <w:rFonts w:eastAsia="Times New Roman" w:cs="Times New Roman"/>
          <w:b/>
          <w:sz w:val="20"/>
          <w:szCs w:val="20"/>
          <w:lang w:val="en-GB"/>
        </w:rPr>
        <w:t>status</w:t>
      </w:r>
    </w:p>
    <w:p w:rsidR="00400883" w:rsidP="00400883" w:rsidRDefault="00400883" w14:paraId="4836F0FA" w14:textId="77777777">
      <w:pPr>
        <w:spacing w:after="0" w:line="240" w:lineRule="auto"/>
        <w:jc w:val="both"/>
        <w:rPr>
          <w:rFonts w:cs="Times New Roman"/>
          <w:sz w:val="18"/>
          <w:szCs w:val="18"/>
          <w:lang w:val="en-US"/>
        </w:rPr>
      </w:pPr>
    </w:p>
    <w:p>
      <w:pPr>
        <w:pBdr/>
        <w:spacing w:before="20" w:after="20"/>
        <w:ind w:left="20" w:right="20"/>
        <w:jc w:val="left"/>
      </w:pPr>
      <w:bookmarkStart w:name="TABLE_1" w:id="4"/>
      <w:r/>
      <w:bookmarkEnd w:id="4"/>
      <w:r>
        <w:rPr>
          <w:rFonts w:ascii="Calibri" w:hAnsi="Calibri" w:cs="Calibri"/>
          <w:b w:val="true"/>
          <w:color w:val="000000"/>
          <w:sz w:val="18"/>
        </w:rPr>
        <w:t xml:space="preserve">Table 6.3.9.1	</w:t>
      </w:r>
      <w:r>
        <w:rPr>
          <w:rFonts w:ascii="Calibri" w:hAnsi="Calibri" w:cs="Calibri"/>
          <w:color w:val="000000"/>
          <w:sz w:val="18"/>
        </w:rPr>
        <w:t xml:space="preserve">Grey gurnard in Subarea IV and Divisions VIId and IIIa. State of the stock and fishery, relative to reference points.</w:t>
      </w:r>
    </w:p>
    <w:p w:rsidR="00F015F7" w:rsidP="00F015F7" w:rsidRDefault="00F015F7" w14:paraId="014F7B25" w14:textId="59057CB6">
      <w:pPr>
        <w:spacing w:after="0" w:line="240" w:lineRule="auto"/>
        <w:jc w:val="both"/>
        <w:rPr>
          <w:sz w:val="20"/>
          <w:szCs w:val="20"/>
          <w:lang w:val="en-GB"/>
        </w:rPr>
      </w:pPr>
      <w:commentRangeStart w:id="5"/>
      <w:r>
        <w:rPr>
          <w:sz w:val="20"/>
          <w:szCs w:val="20"/>
          <w:lang w:val="en-GB"/>
        </w:rPr>
        <w:t xml:space="preserve">Insert </w:t>
      </w:r>
      <w:hyperlink w:history="true" r:id="rId13">
        <w:r w:rsidRPr="002F779C">
          <w:rPr>
            <w:rStyle w:val="Hyperlink"/>
            <w:sz w:val="20"/>
            <w:szCs w:val="20"/>
            <w:lang w:val="en-GB"/>
          </w:rPr>
          <w:t>Stock Assessment Graphs</w:t>
        </w:r>
      </w:hyperlink>
      <w:r>
        <w:rPr>
          <w:sz w:val="20"/>
          <w:szCs w:val="20"/>
          <w:lang w:val="en-GB"/>
        </w:rPr>
        <w:t xml:space="preserve"> “tick-mark” table here</w:t>
      </w:r>
      <w:commentRangeEnd w:id="5"/>
      <w:r>
        <w:rPr>
          <w:rStyle w:val="CommentReference"/>
        </w:rPr>
        <w:commentReference w:id="5"/>
      </w:r>
    </w:p>
    <w:p w:rsidR="00983794" w:rsidP="00F015F7" w:rsidRDefault="00983794" w14:paraId="59B4CBEE" w14:textId="58BBFE2F">
      <w:pPr>
        <w:spacing w:after="0" w:line="240" w:lineRule="auto"/>
        <w:jc w:val="both"/>
        <w:rPr>
          <w:sz w:val="20"/>
          <w:szCs w:val="20"/>
          <w:lang w:val="en-GB"/>
        </w:rPr>
      </w:pPr>
    </w:p>
    <w:p w:rsidR="0004105C" w:rsidP="0004105C" w:rsidRDefault="0004105C" w14:paraId="33C748BB" w14:textId="1BCC2260">
      <w:pPr>
        <w:spacing w:after="0" w:line="240" w:lineRule="auto"/>
        <w:jc w:val="both"/>
        <w:rPr>
          <w:sz w:val="20"/>
          <w:szCs w:val="20"/>
          <w:lang w:val="en-GB"/>
        </w:rPr>
      </w:pPr>
    </w:p>
    <w:p w:rsidRPr="00940EEE" w:rsidR="00146D1E" w:rsidP="006A4DA0" w:rsidRDefault="001917E9" w14:paraId="4836F135" w14:textId="77777777">
      <w:pPr>
        <w:pStyle w:val="Hheading3"/>
        <w:shd w:val="clear" w:color="auto" w:fill="9AC2B7"/>
        <w:spacing w:before="0" w:after="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Catch options</w:t>
      </w:r>
    </w:p>
    <w:p w:rsidR="00CE1C4B" w:rsidP="00742D29" w:rsidRDefault="00CE1C4B" w14:paraId="4836F136" w14:textId="77777777">
      <w:pPr>
        <w:spacing w:after="0" w:line="240" w:lineRule="auto"/>
        <w:ind w:left="1701" w:hanging="1701"/>
        <w:jc w:val="both"/>
        <w:rPr>
          <w:rFonts w:eastAsia="Times New Roman" w:cs="Times New Roman"/>
          <w:sz w:val="18"/>
          <w:szCs w:val="18"/>
          <w:lang w:val="en-GB"/>
        </w:rPr>
      </w:pPr>
    </w:p>
    <w:p w:rsidR="00AB1BC6" w:rsidP="00AB1BC6" w:rsidRDefault="00AB1BC6" w14:paraId="5E81FDB6" w14:textId="77777777">
      <w:pPr>
        <w:spacing w:after="0" w:line="240" w:lineRule="auto"/>
        <w:jc w:val="both"/>
        <w:rPr>
          <w:sz w:val="20"/>
          <w:szCs w:val="20"/>
          <w:lang w:val="en-GB"/>
        </w:rPr>
      </w:pPr>
      <w:commentRangeStart w:id="6"/>
      <w:r w:rsidRPr="0077088A">
        <w:rPr>
          <w:sz w:val="20"/>
          <w:szCs w:val="20"/>
          <w:lang w:val="en-GB"/>
        </w:rPr>
        <w:t xml:space="preserve">Lorem ipsum </w:t>
      </w:r>
      <w:proofErr w:type="spellStart"/>
      <w:r w:rsidRPr="0077088A">
        <w:rPr>
          <w:sz w:val="20"/>
          <w:szCs w:val="20"/>
          <w:lang w:val="en-GB"/>
        </w:rPr>
        <w:t>dolor</w:t>
      </w:r>
      <w:proofErr w:type="spellEnd"/>
      <w:r w:rsidRPr="0077088A">
        <w:rPr>
          <w:sz w:val="20"/>
          <w:szCs w:val="20"/>
          <w:lang w:val="en-GB"/>
        </w:rPr>
        <w:t xml:space="preserve"> sit </w:t>
      </w:r>
      <w:proofErr w:type="spellStart"/>
      <w:r w:rsidRPr="0077088A">
        <w:rPr>
          <w:sz w:val="20"/>
          <w:szCs w:val="20"/>
          <w:lang w:val="en-GB"/>
        </w:rPr>
        <w:t>amet</w:t>
      </w:r>
      <w:proofErr w:type="spell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consectetuer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adipiscing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elit</w:t>
      </w:r>
      <w:proofErr w:type="spellEnd"/>
      <w:r w:rsidRPr="0077088A">
        <w:rPr>
          <w:sz w:val="20"/>
          <w:szCs w:val="20"/>
          <w:lang w:val="en-GB"/>
        </w:rPr>
        <w:t xml:space="preserve">. </w:t>
      </w:r>
      <w:proofErr w:type="spellStart"/>
      <w:r w:rsidRPr="0077088A">
        <w:rPr>
          <w:sz w:val="20"/>
          <w:szCs w:val="20"/>
          <w:lang w:val="en-GB"/>
        </w:rPr>
        <w:t>Aenean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commodo</w:t>
      </w:r>
      <w:proofErr w:type="spellEnd"/>
      <w:r w:rsidRPr="0077088A">
        <w:rPr>
          <w:sz w:val="20"/>
          <w:szCs w:val="20"/>
          <w:lang w:val="en-GB"/>
        </w:rPr>
        <w:t xml:space="preserve"> ligula </w:t>
      </w:r>
      <w:proofErr w:type="spellStart"/>
      <w:r w:rsidRPr="0077088A">
        <w:rPr>
          <w:sz w:val="20"/>
          <w:szCs w:val="20"/>
          <w:lang w:val="en-GB"/>
        </w:rPr>
        <w:t>eget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dolor</w:t>
      </w:r>
      <w:proofErr w:type="spellEnd"/>
      <w:r w:rsidRPr="0077088A">
        <w:rPr>
          <w:sz w:val="20"/>
          <w:szCs w:val="20"/>
          <w:lang w:val="en-GB"/>
        </w:rPr>
        <w:t xml:space="preserve">. </w:t>
      </w:r>
      <w:proofErr w:type="spellStart"/>
      <w:r w:rsidRPr="0077088A">
        <w:rPr>
          <w:sz w:val="20"/>
          <w:szCs w:val="20"/>
          <w:lang w:val="en-GB"/>
        </w:rPr>
        <w:t>Aenean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proofErr w:type="gramStart"/>
      <w:r w:rsidRPr="0077088A">
        <w:rPr>
          <w:sz w:val="20"/>
          <w:szCs w:val="20"/>
          <w:lang w:val="en-GB"/>
        </w:rPr>
        <w:t>massa</w:t>
      </w:r>
      <w:proofErr w:type="spellEnd"/>
      <w:proofErr w:type="gramEnd"/>
      <w:r w:rsidRPr="0077088A">
        <w:rPr>
          <w:sz w:val="20"/>
          <w:szCs w:val="20"/>
          <w:lang w:val="en-GB"/>
        </w:rPr>
        <w:t xml:space="preserve">. Cum </w:t>
      </w:r>
      <w:proofErr w:type="spellStart"/>
      <w:r w:rsidRPr="0077088A">
        <w:rPr>
          <w:sz w:val="20"/>
          <w:szCs w:val="20"/>
          <w:lang w:val="en-GB"/>
        </w:rPr>
        <w:t>sociis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natoque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penatibus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gramStart"/>
      <w:r w:rsidRPr="0077088A">
        <w:rPr>
          <w:sz w:val="20"/>
          <w:szCs w:val="20"/>
          <w:lang w:val="en-GB"/>
        </w:rPr>
        <w:t>et</w:t>
      </w:r>
      <w:proofErr w:type="gram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magnis</w:t>
      </w:r>
      <w:proofErr w:type="spellEnd"/>
      <w:r w:rsidRPr="0077088A">
        <w:rPr>
          <w:sz w:val="20"/>
          <w:szCs w:val="20"/>
          <w:lang w:val="en-GB"/>
        </w:rPr>
        <w:t xml:space="preserve"> dis parturient </w:t>
      </w:r>
      <w:proofErr w:type="spellStart"/>
      <w:r w:rsidRPr="0077088A">
        <w:rPr>
          <w:sz w:val="20"/>
          <w:szCs w:val="20"/>
          <w:lang w:val="en-GB"/>
        </w:rPr>
        <w:t>montes</w:t>
      </w:r>
      <w:proofErr w:type="spell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nascetur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ridiculus</w:t>
      </w:r>
      <w:proofErr w:type="spellEnd"/>
      <w:r w:rsidRPr="0077088A">
        <w:rPr>
          <w:sz w:val="20"/>
          <w:szCs w:val="20"/>
          <w:lang w:val="en-GB"/>
        </w:rPr>
        <w:t xml:space="preserve"> mus. </w:t>
      </w:r>
      <w:proofErr w:type="spellStart"/>
      <w:r w:rsidRPr="0077088A">
        <w:rPr>
          <w:sz w:val="20"/>
          <w:szCs w:val="20"/>
          <w:lang w:val="en-GB"/>
        </w:rPr>
        <w:t>Donec</w:t>
      </w:r>
      <w:proofErr w:type="spellEnd"/>
      <w:r w:rsidRPr="0077088A">
        <w:rPr>
          <w:sz w:val="20"/>
          <w:szCs w:val="20"/>
          <w:lang w:val="en-GB"/>
        </w:rPr>
        <w:t xml:space="preserve"> quam </w:t>
      </w:r>
      <w:proofErr w:type="spellStart"/>
      <w:r w:rsidRPr="0077088A">
        <w:rPr>
          <w:sz w:val="20"/>
          <w:szCs w:val="20"/>
          <w:lang w:val="en-GB"/>
        </w:rPr>
        <w:t>felis</w:t>
      </w:r>
      <w:proofErr w:type="spell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ultricies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nec</w:t>
      </w:r>
      <w:proofErr w:type="spell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pellentesque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eu</w:t>
      </w:r>
      <w:proofErr w:type="spell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pretium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quis</w:t>
      </w:r>
      <w:proofErr w:type="spellEnd"/>
      <w:r w:rsidRPr="0077088A">
        <w:rPr>
          <w:sz w:val="20"/>
          <w:szCs w:val="20"/>
          <w:lang w:val="en-GB"/>
        </w:rPr>
        <w:t xml:space="preserve">, sem. </w:t>
      </w:r>
      <w:proofErr w:type="spellStart"/>
      <w:r w:rsidRPr="0077088A">
        <w:rPr>
          <w:sz w:val="20"/>
          <w:szCs w:val="20"/>
          <w:lang w:val="en-GB"/>
        </w:rPr>
        <w:t>Nulla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consequat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massa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quis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enim</w:t>
      </w:r>
      <w:proofErr w:type="spellEnd"/>
      <w:r w:rsidRPr="0077088A">
        <w:rPr>
          <w:sz w:val="20"/>
          <w:szCs w:val="20"/>
          <w:lang w:val="en-GB"/>
        </w:rPr>
        <w:t xml:space="preserve">. </w:t>
      </w:r>
      <w:proofErr w:type="spellStart"/>
      <w:r w:rsidRPr="0077088A">
        <w:rPr>
          <w:sz w:val="20"/>
          <w:szCs w:val="20"/>
          <w:lang w:val="en-GB"/>
        </w:rPr>
        <w:t>Donec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pede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justo</w:t>
      </w:r>
      <w:proofErr w:type="spell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fringilla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vel</w:t>
      </w:r>
      <w:proofErr w:type="spell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aliquet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proofErr w:type="gramStart"/>
      <w:r w:rsidRPr="0077088A">
        <w:rPr>
          <w:sz w:val="20"/>
          <w:szCs w:val="20"/>
          <w:lang w:val="en-GB"/>
        </w:rPr>
        <w:t>nec</w:t>
      </w:r>
      <w:proofErr w:type="spellEnd"/>
      <w:proofErr w:type="gram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vulputate</w:t>
      </w:r>
      <w:proofErr w:type="spellEnd"/>
    </w:p>
    <w:p w:rsidR="00AB1BC6" w:rsidP="00AB1BC6" w:rsidRDefault="00AB1BC6" w14:paraId="248B7C0A" w14:textId="77777777">
      <w:pPr>
        <w:spacing w:after="0" w:line="240" w:lineRule="auto"/>
        <w:jc w:val="both"/>
        <w:rPr>
          <w:sz w:val="20"/>
          <w:szCs w:val="20"/>
          <w:lang w:val="en-GB"/>
        </w:rPr>
      </w:pPr>
    </w:p>
    <w:p w:rsidR="00AB1BC6" w:rsidP="00AB1BC6" w:rsidRDefault="00AB1BC6" w14:paraId="5D0F06FA" w14:textId="77777777">
      <w:pPr>
        <w:spacing w:after="0" w:line="240" w:lineRule="auto"/>
        <w:jc w:val="both"/>
        <w:rPr>
          <w:sz w:val="20"/>
          <w:szCs w:val="20"/>
          <w:lang w:val="en-GB"/>
        </w:rPr>
      </w:pPr>
      <w:r w:rsidRPr="0077088A">
        <w:rPr>
          <w:sz w:val="20"/>
          <w:szCs w:val="20"/>
          <w:lang w:val="en-GB"/>
        </w:rPr>
        <w:t xml:space="preserve">Lorem ipsum </w:t>
      </w:r>
      <w:proofErr w:type="spellStart"/>
      <w:r w:rsidRPr="0077088A">
        <w:rPr>
          <w:sz w:val="20"/>
          <w:szCs w:val="20"/>
          <w:lang w:val="en-GB"/>
        </w:rPr>
        <w:t>dolor</w:t>
      </w:r>
      <w:proofErr w:type="spellEnd"/>
      <w:r w:rsidRPr="0077088A">
        <w:rPr>
          <w:sz w:val="20"/>
          <w:szCs w:val="20"/>
          <w:lang w:val="en-GB"/>
        </w:rPr>
        <w:t xml:space="preserve"> sit </w:t>
      </w:r>
      <w:proofErr w:type="spellStart"/>
      <w:r w:rsidRPr="0077088A">
        <w:rPr>
          <w:sz w:val="20"/>
          <w:szCs w:val="20"/>
          <w:lang w:val="en-GB"/>
        </w:rPr>
        <w:t>amet</w:t>
      </w:r>
      <w:proofErr w:type="spell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consectetuer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adipiscing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elit</w:t>
      </w:r>
      <w:proofErr w:type="spellEnd"/>
      <w:r w:rsidRPr="0077088A">
        <w:rPr>
          <w:sz w:val="20"/>
          <w:szCs w:val="20"/>
          <w:lang w:val="en-GB"/>
        </w:rPr>
        <w:t xml:space="preserve">. </w:t>
      </w:r>
      <w:proofErr w:type="spellStart"/>
      <w:r w:rsidRPr="0077088A">
        <w:rPr>
          <w:sz w:val="20"/>
          <w:szCs w:val="20"/>
          <w:lang w:val="en-GB"/>
        </w:rPr>
        <w:t>Aenean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commodo</w:t>
      </w:r>
      <w:proofErr w:type="spellEnd"/>
      <w:r w:rsidRPr="0077088A">
        <w:rPr>
          <w:sz w:val="20"/>
          <w:szCs w:val="20"/>
          <w:lang w:val="en-GB"/>
        </w:rPr>
        <w:t xml:space="preserve"> ligula </w:t>
      </w:r>
      <w:proofErr w:type="spellStart"/>
      <w:r w:rsidRPr="0077088A">
        <w:rPr>
          <w:sz w:val="20"/>
          <w:szCs w:val="20"/>
          <w:lang w:val="en-GB"/>
        </w:rPr>
        <w:t>eget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dolor</w:t>
      </w:r>
      <w:proofErr w:type="spellEnd"/>
      <w:r w:rsidRPr="0077088A">
        <w:rPr>
          <w:sz w:val="20"/>
          <w:szCs w:val="20"/>
          <w:lang w:val="en-GB"/>
        </w:rPr>
        <w:t xml:space="preserve">. </w:t>
      </w:r>
      <w:proofErr w:type="spellStart"/>
      <w:r w:rsidRPr="0077088A">
        <w:rPr>
          <w:sz w:val="20"/>
          <w:szCs w:val="20"/>
          <w:lang w:val="en-GB"/>
        </w:rPr>
        <w:t>Aenean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proofErr w:type="gramStart"/>
      <w:r w:rsidRPr="0077088A">
        <w:rPr>
          <w:sz w:val="20"/>
          <w:szCs w:val="20"/>
          <w:lang w:val="en-GB"/>
        </w:rPr>
        <w:t>massa</w:t>
      </w:r>
      <w:proofErr w:type="spellEnd"/>
      <w:proofErr w:type="gramEnd"/>
      <w:r w:rsidRPr="0077088A">
        <w:rPr>
          <w:sz w:val="20"/>
          <w:szCs w:val="20"/>
          <w:lang w:val="en-GB"/>
        </w:rPr>
        <w:t xml:space="preserve">. Cum </w:t>
      </w:r>
      <w:proofErr w:type="spellStart"/>
      <w:r w:rsidRPr="0077088A">
        <w:rPr>
          <w:sz w:val="20"/>
          <w:szCs w:val="20"/>
          <w:lang w:val="en-GB"/>
        </w:rPr>
        <w:t>sociis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natoque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penatibus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gramStart"/>
      <w:r w:rsidRPr="0077088A">
        <w:rPr>
          <w:sz w:val="20"/>
          <w:szCs w:val="20"/>
          <w:lang w:val="en-GB"/>
        </w:rPr>
        <w:t>et</w:t>
      </w:r>
      <w:proofErr w:type="gram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magnis</w:t>
      </w:r>
      <w:proofErr w:type="spellEnd"/>
      <w:r w:rsidRPr="0077088A">
        <w:rPr>
          <w:sz w:val="20"/>
          <w:szCs w:val="20"/>
          <w:lang w:val="en-GB"/>
        </w:rPr>
        <w:t xml:space="preserve"> dis parturient </w:t>
      </w:r>
      <w:proofErr w:type="spellStart"/>
      <w:r w:rsidRPr="0077088A">
        <w:rPr>
          <w:sz w:val="20"/>
          <w:szCs w:val="20"/>
          <w:lang w:val="en-GB"/>
        </w:rPr>
        <w:t>montes</w:t>
      </w:r>
      <w:proofErr w:type="spell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nascetur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ridiculus</w:t>
      </w:r>
      <w:proofErr w:type="spellEnd"/>
      <w:r w:rsidRPr="0077088A">
        <w:rPr>
          <w:sz w:val="20"/>
          <w:szCs w:val="20"/>
          <w:lang w:val="en-GB"/>
        </w:rPr>
        <w:t xml:space="preserve"> mus. </w:t>
      </w:r>
      <w:proofErr w:type="spellStart"/>
      <w:r w:rsidRPr="0077088A">
        <w:rPr>
          <w:sz w:val="20"/>
          <w:szCs w:val="20"/>
          <w:lang w:val="en-GB"/>
        </w:rPr>
        <w:t>Donec</w:t>
      </w:r>
      <w:proofErr w:type="spellEnd"/>
      <w:r w:rsidRPr="0077088A">
        <w:rPr>
          <w:sz w:val="20"/>
          <w:szCs w:val="20"/>
          <w:lang w:val="en-GB"/>
        </w:rPr>
        <w:t xml:space="preserve"> quam </w:t>
      </w:r>
      <w:proofErr w:type="spellStart"/>
      <w:r w:rsidRPr="0077088A">
        <w:rPr>
          <w:sz w:val="20"/>
          <w:szCs w:val="20"/>
          <w:lang w:val="en-GB"/>
        </w:rPr>
        <w:t>felis</w:t>
      </w:r>
      <w:proofErr w:type="spell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ultricies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nec</w:t>
      </w:r>
      <w:proofErr w:type="spell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pellentesque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eu</w:t>
      </w:r>
      <w:proofErr w:type="spell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pretium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quis</w:t>
      </w:r>
      <w:proofErr w:type="spellEnd"/>
      <w:r w:rsidRPr="0077088A">
        <w:rPr>
          <w:sz w:val="20"/>
          <w:szCs w:val="20"/>
          <w:lang w:val="en-GB"/>
        </w:rPr>
        <w:t xml:space="preserve">, sem. </w:t>
      </w:r>
      <w:proofErr w:type="spellStart"/>
      <w:r w:rsidRPr="0077088A">
        <w:rPr>
          <w:sz w:val="20"/>
          <w:szCs w:val="20"/>
          <w:lang w:val="en-GB"/>
        </w:rPr>
        <w:t>Nulla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consequat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massa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quis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enim</w:t>
      </w:r>
      <w:proofErr w:type="spellEnd"/>
      <w:r w:rsidRPr="0077088A">
        <w:rPr>
          <w:sz w:val="20"/>
          <w:szCs w:val="20"/>
          <w:lang w:val="en-GB"/>
        </w:rPr>
        <w:t xml:space="preserve">. </w:t>
      </w:r>
      <w:proofErr w:type="spellStart"/>
      <w:r w:rsidRPr="0077088A">
        <w:rPr>
          <w:sz w:val="20"/>
          <w:szCs w:val="20"/>
          <w:lang w:val="en-GB"/>
        </w:rPr>
        <w:t>Donec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pede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justo</w:t>
      </w:r>
      <w:proofErr w:type="spell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fringilla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vel</w:t>
      </w:r>
      <w:proofErr w:type="spell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aliquet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proofErr w:type="gramStart"/>
      <w:r w:rsidRPr="0077088A">
        <w:rPr>
          <w:sz w:val="20"/>
          <w:szCs w:val="20"/>
          <w:lang w:val="en-GB"/>
        </w:rPr>
        <w:t>nec</w:t>
      </w:r>
      <w:proofErr w:type="spellEnd"/>
      <w:proofErr w:type="gram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vulputate</w:t>
      </w:r>
      <w:commentRangeEnd w:id="6"/>
      <w:proofErr w:type="spellEnd"/>
      <w:r w:rsidR="002F779C">
        <w:rPr>
          <w:rStyle w:val="CommentReference"/>
        </w:rPr>
        <w:commentReference w:id="6"/>
      </w:r>
    </w:p>
    <w:p w:rsidRPr="00940EEE" w:rsidR="00AB1BC6" w:rsidP="00742D29" w:rsidRDefault="00AB1BC6" w14:paraId="1A6E2852" w14:textId="77777777">
      <w:pPr>
        <w:spacing w:after="0" w:line="240" w:lineRule="auto"/>
        <w:ind w:left="1701" w:hanging="1701"/>
        <w:jc w:val="both"/>
        <w:rPr>
          <w:rFonts w:eastAsia="Times New Roman" w:cs="Times New Roman"/>
          <w:sz w:val="18"/>
          <w:szCs w:val="18"/>
          <w:lang w:val="en-GB"/>
        </w:rPr>
      </w:pPr>
    </w:p>
    <w:p>
      <w:pPr>
        <w:pBdr/>
        <w:spacing w:before="20" w:after="20"/>
        <w:ind w:left="20" w:right="20"/>
        <w:jc w:val="left"/>
      </w:pPr>
      <w:bookmarkStart w:name="TABLE_2" w:id="7"/>
      <w:r/>
      <w:bookmarkEnd w:id="7"/>
      <w:r>
        <w:rPr>
          <w:rFonts w:ascii="Calibri" w:hAnsi="Calibri" w:cs="Calibri"/>
          <w:b w:val="true"/>
          <w:color w:val="000000"/>
          <w:sz w:val="18"/>
        </w:rPr>
        <w:t xml:space="preserve">Table 6.3.9.2	</w:t>
      </w:r>
      <w:r>
        <w:rPr>
          <w:rFonts w:ascii="Calibri" w:hAnsi="Calibri" w:cs="Calibri"/>
          <w:color w:val="000000"/>
          <w:sz w:val="18"/>
        </w:rPr>
        <w:t xml:space="preserve">Grey gurnard in Subarea IV and Divisions VIId and IIIa. For stocks in ICES data categories 3–6, one catch option is provided.</w:t>
      </w:r>
    </w:p>
    <w:tbl>
      <w:tblPr>
        <w:jc w:val="left"/>
        <w:tblLayout w:type="fixed"/>
      </w:tblPr>
      <w:tblGrid>
        <w:gridCol w:w="3639"/>
        <w:gridCol w:w="2874"/>
        <w:gridCol w:w="3696"/>
      </w:tblGrid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8EAEA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Index A (XXXX–XXXX) </w:t>
            </w:r>
          </w:p>
        </w:tc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XX.XX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8EAEA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Index B (XXXX–XXXX)</w:t>
            </w:r>
          </w:p>
        </w:tc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XX.XX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8EAEA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Index ratio (A/B)</w:t>
            </w:r>
          </w:p>
        </w:tc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X.XX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8EAEA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Uncertainty cap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Not applied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8EAEA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Average catch (XXXX–XXXX)</w:t>
            </w:r>
          </w:p>
        </w:tc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XXXX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8EAEA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Discard rate (XXXX–XXXX)</w:t>
            </w:r>
          </w:p>
        </w:tc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X.XX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8EAEA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Precautionary buffer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Not applied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8EAEA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Catch advice *</w:t>
            </w:r>
          </w:p>
        </w:tc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XXXX t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8EAEA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Landings advice **</w:t>
            </w:r>
          </w:p>
        </w:tc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XXXX t</w:t>
            </w:r>
          </w:p>
        </w:tc>
      </w:tr>
    </w:tbl>
    <w:p w:rsidR="0004105C" w:rsidP="00742D29" w:rsidRDefault="0004105C" w14:paraId="16252646" w14:textId="77777777">
      <w:pPr>
        <w:spacing w:after="0" w:line="240" w:lineRule="auto"/>
        <w:jc w:val="both"/>
        <w:rPr>
          <w:rFonts w:cs="Times New Roman"/>
          <w:sz w:val="18"/>
          <w:szCs w:val="18"/>
          <w:lang w:val="en-GB"/>
        </w:rPr>
      </w:pPr>
    </w:p>
    <w:p w:rsidRPr="00940EEE" w:rsidR="00630074" w:rsidP="00630074" w:rsidRDefault="00630074" w14:paraId="4836F275" w14:textId="77777777">
      <w:pPr>
        <w:pStyle w:val="Hheading3"/>
        <w:shd w:val="clear" w:color="auto" w:fill="9AC2B7"/>
        <w:spacing w:before="0" w:after="0"/>
        <w:jc w:val="both"/>
        <w:rPr>
          <w:rFonts w:asciiTheme="minorHAnsi" w:hAnsiTheme="minorHAnsi"/>
          <w:sz w:val="20"/>
          <w:szCs w:val="20"/>
        </w:rPr>
      </w:pPr>
      <w:r w:rsidRPr="00940EEE">
        <w:rPr>
          <w:rFonts w:asciiTheme="minorHAnsi" w:hAnsiTheme="minorHAnsi"/>
          <w:sz w:val="20"/>
          <w:szCs w:val="20"/>
        </w:rPr>
        <w:t>Basis of the advice</w:t>
      </w:r>
    </w:p>
    <w:p w:rsidR="00630074" w:rsidP="00630074" w:rsidRDefault="00630074" w14:paraId="4836F276" w14:textId="77777777">
      <w:pPr>
        <w:spacing w:after="0"/>
        <w:rPr>
          <w:rFonts w:eastAsia="Times New Roman" w:cs="Times New Roman"/>
          <w:sz w:val="18"/>
          <w:szCs w:val="18"/>
          <w:lang w:val="en-GB"/>
        </w:rPr>
      </w:pPr>
    </w:p>
    <w:p>
      <w:pPr>
        <w:pBdr/>
        <w:spacing w:before="20" w:after="20"/>
        <w:ind w:left="20" w:right="20"/>
        <w:jc w:val="left"/>
      </w:pPr>
      <w:bookmarkStart w:name="TABLE_3" w:id="9"/>
      <w:r/>
      <w:bookmarkEnd w:id="9"/>
      <w:r>
        <w:rPr>
          <w:rFonts w:ascii="Calibri" w:hAnsi="Calibri" w:cs="Calibri"/>
          <w:b w:val="true"/>
          <w:color w:val="000000"/>
          <w:sz w:val="18"/>
        </w:rPr>
        <w:t xml:space="preserve">Table 6.3.9.3	</w:t>
      </w:r>
      <w:r>
        <w:rPr>
          <w:rFonts w:ascii="Calibri" w:hAnsi="Calibri" w:cs="Calibri"/>
          <w:color w:val="000000"/>
          <w:sz w:val="18"/>
        </w:rPr>
        <w:t xml:space="preserve">Grey gurnard in Subarea IV and Divisions VIId and IIIa. The basis of the advice.</w:t>
      </w:r>
    </w:p>
    <w:tbl>
      <w:tblPr>
        <w:jc w:val="left"/>
        <w:tblLayout w:type="fixed"/>
      </w:tblPr>
      <w:tblGrid>
        <w:gridCol w:w="2205"/>
        <w:gridCol w:w="7857"/>
      </w:tblGrid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8EAEA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Advice basis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Precautionary approach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8EAEA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Management plan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There is no management plan for grey gurnard in this area.</w:t>
            </w:r>
          </w:p>
        </w:tc>
      </w:tr>
    </w:tbl>
    <w:p w:rsidRPr="00CC39CF" w:rsidR="0004105C" w:rsidP="00CC39CF" w:rsidRDefault="0004105C" w14:paraId="4EE543BA" w14:textId="77777777">
      <w:pPr>
        <w:spacing w:after="0"/>
        <w:rPr>
          <w:rFonts w:eastAsia="Times New Roman" w:cs="Times New Roman"/>
          <w:sz w:val="18"/>
          <w:szCs w:val="18"/>
          <w:lang w:val="en-GB"/>
        </w:rPr>
      </w:pPr>
    </w:p>
    <w:p w:rsidRPr="00940EEE" w:rsidR="00F33839" w:rsidP="006A4DA0" w:rsidRDefault="00F33839" w14:paraId="4836F27F" w14:textId="77777777">
      <w:pPr>
        <w:pStyle w:val="Hheading3"/>
        <w:shd w:val="clear" w:color="auto" w:fill="9AC2B7"/>
        <w:spacing w:before="0" w:after="0"/>
        <w:jc w:val="both"/>
        <w:rPr>
          <w:rFonts w:asciiTheme="minorHAnsi" w:hAnsiTheme="minorHAnsi"/>
          <w:sz w:val="20"/>
          <w:szCs w:val="20"/>
        </w:rPr>
      </w:pPr>
      <w:r w:rsidRPr="00940EEE">
        <w:rPr>
          <w:rFonts w:asciiTheme="minorHAnsi" w:hAnsiTheme="minorHAnsi"/>
          <w:sz w:val="20"/>
          <w:szCs w:val="20"/>
        </w:rPr>
        <w:t>Quality of the assessment</w:t>
      </w:r>
    </w:p>
    <w:p w:rsidRPr="00A91409" w:rsidR="00A91409" w:rsidP="00E41B9C" w:rsidRDefault="00A91409" w14:paraId="4836F280" w14:textId="77777777">
      <w:pPr>
        <w:spacing w:after="0" w:line="240" w:lineRule="auto"/>
        <w:jc w:val="both"/>
        <w:rPr>
          <w:rFonts w:eastAsia="Times New Roman" w:cs="Times New Roman"/>
          <w:sz w:val="18"/>
          <w:szCs w:val="18"/>
          <w:lang w:val="en-GB"/>
        </w:rPr>
      </w:pPr>
    </w:p>
    <w:p w:rsidR="00F34A8C" w:rsidP="003756E2" w:rsidRDefault="0077088A" w14:paraId="4836F287" w14:textId="002FA4FE">
      <w:pPr>
        <w:spacing w:after="0" w:line="240" w:lineRule="auto"/>
        <w:jc w:val="both"/>
        <w:rPr>
          <w:rFonts w:eastAsia="Times New Roman" w:cs="Times New Roman"/>
          <w:sz w:val="20"/>
          <w:szCs w:val="20"/>
          <w:lang w:val="en-GB"/>
        </w:rPr>
      </w:pPr>
      <w:commentRangeStart w:id="11"/>
      <w:r w:rsidRPr="0077088A">
        <w:rPr>
          <w:rFonts w:eastAsia="Times New Roman" w:cs="Times New Roman"/>
          <w:sz w:val="20"/>
          <w:szCs w:val="20"/>
          <w:lang w:val="en-GB"/>
        </w:rPr>
        <w:t xml:space="preserve">Lorem ipsum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dolor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sit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amet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consectetuer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adipiscing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elit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.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Aenean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commodo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ligula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eget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dolor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.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Aenean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proofErr w:type="gramStart"/>
      <w:r w:rsidRPr="0077088A">
        <w:rPr>
          <w:rFonts w:eastAsia="Times New Roman" w:cs="Times New Roman"/>
          <w:sz w:val="20"/>
          <w:szCs w:val="20"/>
          <w:lang w:val="en-GB"/>
        </w:rPr>
        <w:t>massa</w:t>
      </w:r>
      <w:proofErr w:type="spellEnd"/>
      <w:proofErr w:type="gramEnd"/>
      <w:r w:rsidRPr="0077088A">
        <w:rPr>
          <w:rFonts w:eastAsia="Times New Roman" w:cs="Times New Roman"/>
          <w:sz w:val="20"/>
          <w:szCs w:val="20"/>
          <w:lang w:val="en-GB"/>
        </w:rPr>
        <w:t xml:space="preserve">. Cum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sociis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natoque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penatibus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gramStart"/>
      <w:r w:rsidRPr="0077088A">
        <w:rPr>
          <w:rFonts w:eastAsia="Times New Roman" w:cs="Times New Roman"/>
          <w:sz w:val="20"/>
          <w:szCs w:val="20"/>
          <w:lang w:val="en-GB"/>
        </w:rPr>
        <w:t>et</w:t>
      </w:r>
      <w:proofErr w:type="gram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magnis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dis parturient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montes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nascetur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ridiculus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mus.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Donec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quam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felis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ultricies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nec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pellentesque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eu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pretium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quis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, sem.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Nulla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consequat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massa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quis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enim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.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Donec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pede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justo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fringilla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vel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aliquet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proofErr w:type="gramStart"/>
      <w:r w:rsidRPr="0077088A">
        <w:rPr>
          <w:rFonts w:eastAsia="Times New Roman" w:cs="Times New Roman"/>
          <w:sz w:val="20"/>
          <w:szCs w:val="20"/>
          <w:lang w:val="en-GB"/>
        </w:rPr>
        <w:t>nec</w:t>
      </w:r>
      <w:proofErr w:type="spellEnd"/>
      <w:proofErr w:type="gramEnd"/>
      <w:r w:rsidRPr="0077088A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vulputate</w:t>
      </w:r>
      <w:proofErr w:type="spellEnd"/>
    </w:p>
    <w:p w:rsidR="00CE1C4B" w:rsidP="00742D29" w:rsidRDefault="00CE1C4B" w14:paraId="4836F289" w14:textId="77777777">
      <w:pPr>
        <w:spacing w:after="0" w:line="240" w:lineRule="auto"/>
        <w:jc w:val="both"/>
        <w:rPr>
          <w:sz w:val="20"/>
          <w:szCs w:val="20"/>
          <w:lang w:val="en-GB"/>
        </w:rPr>
      </w:pPr>
    </w:p>
    <w:p w:rsidR="00AB1BC6" w:rsidP="00AB1BC6" w:rsidRDefault="00AB1BC6" w14:paraId="6DE60050" w14:textId="77777777">
      <w:pPr>
        <w:spacing w:after="0" w:line="240" w:lineRule="auto"/>
        <w:jc w:val="both"/>
        <w:rPr>
          <w:rFonts w:eastAsia="Times New Roman" w:cs="Times New Roman"/>
          <w:sz w:val="20"/>
          <w:szCs w:val="20"/>
          <w:lang w:val="en-GB"/>
        </w:rPr>
      </w:pPr>
      <w:r w:rsidRPr="0077088A">
        <w:rPr>
          <w:rFonts w:eastAsia="Times New Roman" w:cs="Times New Roman"/>
          <w:sz w:val="20"/>
          <w:szCs w:val="20"/>
          <w:lang w:val="en-GB"/>
        </w:rPr>
        <w:t xml:space="preserve">Lorem ipsum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dolor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sit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amet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consectetuer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adipiscing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elit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.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Aenean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commodo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ligula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eget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dolor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.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Aenean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proofErr w:type="gramStart"/>
      <w:r w:rsidRPr="0077088A">
        <w:rPr>
          <w:rFonts w:eastAsia="Times New Roman" w:cs="Times New Roman"/>
          <w:sz w:val="20"/>
          <w:szCs w:val="20"/>
          <w:lang w:val="en-GB"/>
        </w:rPr>
        <w:t>massa</w:t>
      </w:r>
      <w:proofErr w:type="spellEnd"/>
      <w:proofErr w:type="gramEnd"/>
      <w:r w:rsidRPr="0077088A">
        <w:rPr>
          <w:rFonts w:eastAsia="Times New Roman" w:cs="Times New Roman"/>
          <w:sz w:val="20"/>
          <w:szCs w:val="20"/>
          <w:lang w:val="en-GB"/>
        </w:rPr>
        <w:t xml:space="preserve">. Cum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sociis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natoque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penatibus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gramStart"/>
      <w:r w:rsidRPr="0077088A">
        <w:rPr>
          <w:rFonts w:eastAsia="Times New Roman" w:cs="Times New Roman"/>
          <w:sz w:val="20"/>
          <w:szCs w:val="20"/>
          <w:lang w:val="en-GB"/>
        </w:rPr>
        <w:t>et</w:t>
      </w:r>
      <w:proofErr w:type="gram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magnis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dis parturient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montes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nascetur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ridiculus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mus.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Donec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quam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felis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ultricies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nec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pellentesque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eu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pretium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quis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, sem.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Nulla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consequat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massa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quis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enim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.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Donec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pede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justo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fringilla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vel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aliquet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proofErr w:type="gramStart"/>
      <w:r w:rsidRPr="0077088A">
        <w:rPr>
          <w:rFonts w:eastAsia="Times New Roman" w:cs="Times New Roman"/>
          <w:sz w:val="20"/>
          <w:szCs w:val="20"/>
          <w:lang w:val="en-GB"/>
        </w:rPr>
        <w:t>nec</w:t>
      </w:r>
      <w:proofErr w:type="spellEnd"/>
      <w:proofErr w:type="gramEnd"/>
      <w:r w:rsidRPr="0077088A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vulputate</w:t>
      </w:r>
      <w:commentRangeEnd w:id="11"/>
      <w:proofErr w:type="spellEnd"/>
      <w:r w:rsidR="002F779C">
        <w:rPr>
          <w:rStyle w:val="CommentReference"/>
        </w:rPr>
        <w:commentReference w:id="11"/>
      </w:r>
    </w:p>
    <w:p w:rsidRPr="00940EEE" w:rsidR="00AB1BC6" w:rsidP="00742D29" w:rsidRDefault="00AB1BC6" w14:paraId="3C606D72" w14:textId="77777777">
      <w:pPr>
        <w:spacing w:after="0" w:line="240" w:lineRule="auto"/>
        <w:jc w:val="both"/>
        <w:rPr>
          <w:rFonts w:cs="Times New Roman"/>
          <w:sz w:val="18"/>
          <w:szCs w:val="18"/>
          <w:lang w:val="en-US"/>
        </w:rPr>
      </w:pPr>
    </w:p>
    <w:p w:rsidRPr="00940EEE" w:rsidR="00F33839" w:rsidP="006A4DA0" w:rsidRDefault="00855E88" w14:paraId="4836F28A" w14:textId="77777777">
      <w:pPr>
        <w:pStyle w:val="Hheading3"/>
        <w:shd w:val="clear" w:color="auto" w:fill="9AC2B7"/>
        <w:spacing w:before="0" w:after="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Issues relevant for the advice</w:t>
      </w:r>
    </w:p>
    <w:p w:rsidR="00EB7E06" w:rsidP="00E41B9C" w:rsidRDefault="00EB7E06" w14:paraId="4836F28B" w14:textId="77777777">
      <w:pPr>
        <w:spacing w:after="0" w:line="240" w:lineRule="auto"/>
        <w:jc w:val="both"/>
        <w:rPr>
          <w:rFonts w:eastAsia="Times New Roman" w:cs="Times New Roman"/>
          <w:sz w:val="18"/>
          <w:szCs w:val="18"/>
          <w:lang w:val="en-GB"/>
        </w:rPr>
      </w:pPr>
    </w:p>
    <w:p w:rsidRPr="00AB1BC6" w:rsidR="00AB1BC6" w:rsidP="00E41B9C" w:rsidRDefault="0077088A" w14:paraId="2BA7000A" w14:textId="0F60E56F">
      <w:pPr>
        <w:spacing w:after="0" w:line="240" w:lineRule="auto"/>
        <w:jc w:val="both"/>
        <w:rPr>
          <w:rFonts w:eastAsia="Times New Roman" w:cs="Times New Roman"/>
          <w:sz w:val="20"/>
          <w:szCs w:val="20"/>
          <w:lang w:val="en-GB"/>
        </w:rPr>
      </w:pPr>
      <w:r w:rsidRPr="00AB1BC6">
        <w:rPr>
          <w:rFonts w:eastAsia="Times New Roman" w:cs="Times New Roman"/>
          <w:sz w:val="20"/>
          <w:szCs w:val="20"/>
          <w:lang w:val="en-GB"/>
        </w:rPr>
        <w:lastRenderedPageBreak/>
        <w:t xml:space="preserve">Lorem ipsum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dolor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sit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amet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consectetuer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adipiscing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elit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.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Aenean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commodo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ligula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eget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dolor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.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Aenean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proofErr w:type="gramStart"/>
      <w:r w:rsidRPr="00AB1BC6">
        <w:rPr>
          <w:rFonts w:eastAsia="Times New Roman" w:cs="Times New Roman"/>
          <w:sz w:val="20"/>
          <w:szCs w:val="20"/>
          <w:lang w:val="en-GB"/>
        </w:rPr>
        <w:t>massa</w:t>
      </w:r>
      <w:proofErr w:type="spellEnd"/>
      <w:proofErr w:type="gramEnd"/>
      <w:r w:rsidRPr="00AB1BC6">
        <w:rPr>
          <w:rFonts w:eastAsia="Times New Roman" w:cs="Times New Roman"/>
          <w:sz w:val="20"/>
          <w:szCs w:val="20"/>
          <w:lang w:val="en-GB"/>
        </w:rPr>
        <w:t xml:space="preserve">. Cum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sociis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natoque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penatibus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gramStart"/>
      <w:r w:rsidRPr="00AB1BC6">
        <w:rPr>
          <w:rFonts w:eastAsia="Times New Roman" w:cs="Times New Roman"/>
          <w:sz w:val="20"/>
          <w:szCs w:val="20"/>
          <w:lang w:val="en-GB"/>
        </w:rPr>
        <w:t>et</w:t>
      </w:r>
      <w:proofErr w:type="gram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magnis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dis parturient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montes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nascetur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ridiculus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mus.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Donec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quam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felis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ultricies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nec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pellentesque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eu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pretium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quis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, sem.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Nulla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consequat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massa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quis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enim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.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Donec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pede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justo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fringilla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vel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aliquet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proofErr w:type="gramStart"/>
      <w:r w:rsidRPr="00AB1BC6">
        <w:rPr>
          <w:rFonts w:eastAsia="Times New Roman" w:cs="Times New Roman"/>
          <w:sz w:val="20"/>
          <w:szCs w:val="20"/>
          <w:lang w:val="en-GB"/>
        </w:rPr>
        <w:t>nec</w:t>
      </w:r>
      <w:proofErr w:type="spellEnd"/>
      <w:proofErr w:type="gramEnd"/>
      <w:r w:rsidRPr="00AB1BC6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vulputate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eget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arcu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. In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enim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justo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rhoncus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ut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imperdiet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a,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venenatis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vitae,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justo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.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Nullam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r w:rsidRPr="00AB1BC6" w:rsidR="00AB1BC6">
        <w:rPr>
          <w:rFonts w:eastAsia="Times New Roman" w:cs="Times New Roman"/>
          <w:sz w:val="20"/>
          <w:szCs w:val="20"/>
          <w:lang w:val="en-GB"/>
        </w:rPr>
        <w:t>dictum</w:t>
      </w:r>
    </w:p>
    <w:p w:rsidRPr="00AB1BC6" w:rsidR="00AB1BC6" w:rsidP="00E41B9C" w:rsidRDefault="00AB1BC6" w14:paraId="134E8FDF" w14:textId="77777777">
      <w:pPr>
        <w:spacing w:after="0" w:line="240" w:lineRule="auto"/>
        <w:jc w:val="both"/>
        <w:rPr>
          <w:rFonts w:eastAsia="Times New Roman" w:cs="Times New Roman"/>
          <w:sz w:val="20"/>
          <w:szCs w:val="20"/>
          <w:lang w:val="en-GB"/>
        </w:rPr>
      </w:pPr>
    </w:p>
    <w:p w:rsidRPr="00AB1BC6" w:rsidR="0077088A" w:rsidP="00E41B9C" w:rsidRDefault="0077088A" w14:paraId="7D318E19" w14:textId="15D2A2B6">
      <w:pPr>
        <w:spacing w:after="0" w:line="240" w:lineRule="auto"/>
        <w:jc w:val="both"/>
        <w:rPr>
          <w:rFonts w:eastAsia="Times New Roman" w:cs="Times New Roman"/>
          <w:sz w:val="20"/>
          <w:szCs w:val="20"/>
          <w:lang w:val="en-GB"/>
        </w:rPr>
      </w:pPr>
      <w:r w:rsidRPr="00AB1BC6">
        <w:rPr>
          <w:rFonts w:eastAsia="Times New Roman" w:cs="Times New Roman"/>
          <w:sz w:val="20"/>
          <w:szCs w:val="20"/>
        </w:rPr>
        <w:t xml:space="preserve">m felis eu pede mollis pretium. </w:t>
      </w:r>
      <w:r w:rsidRPr="00AB1BC6">
        <w:rPr>
          <w:rFonts w:eastAsia="Times New Roman" w:cs="Times New Roman"/>
          <w:sz w:val="20"/>
          <w:szCs w:val="20"/>
          <w:lang w:val="en-GB"/>
        </w:rPr>
        <w:t xml:space="preserve">Integer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tincidunt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.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Cras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dapibus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.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Vivamus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elementum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semper nisi.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Aenean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vulputate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eleifend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tellus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.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Aenean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proofErr w:type="gramStart"/>
      <w:r w:rsidRPr="00AB1BC6">
        <w:rPr>
          <w:rFonts w:eastAsia="Times New Roman" w:cs="Times New Roman"/>
          <w:sz w:val="20"/>
          <w:szCs w:val="20"/>
          <w:lang w:val="en-GB"/>
        </w:rPr>
        <w:t>leo</w:t>
      </w:r>
      <w:proofErr w:type="spellEnd"/>
      <w:proofErr w:type="gramEnd"/>
      <w:r w:rsidRPr="00AB1BC6">
        <w:rPr>
          <w:rFonts w:eastAsia="Times New Roman" w:cs="Times New Roman"/>
          <w:sz w:val="20"/>
          <w:szCs w:val="20"/>
          <w:lang w:val="en-GB"/>
        </w:rPr>
        <w:t xml:space="preserve"> ligula,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porttitor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eu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consequat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vitae,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eleifend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ac,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enim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.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Aliquam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lorem ante,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dapi</w:t>
      </w:r>
      <w:r w:rsidR="00AB1BC6">
        <w:rPr>
          <w:rFonts w:eastAsia="Times New Roman" w:cs="Times New Roman"/>
          <w:sz w:val="20"/>
          <w:szCs w:val="20"/>
          <w:lang w:val="en-GB"/>
        </w:rPr>
        <w:t>bus</w:t>
      </w:r>
      <w:proofErr w:type="spellEnd"/>
      <w:r w:rsidR="00AB1BC6">
        <w:rPr>
          <w:rFonts w:eastAsia="Times New Roman" w:cs="Times New Roman"/>
          <w:sz w:val="20"/>
          <w:szCs w:val="20"/>
          <w:lang w:val="en-GB"/>
        </w:rPr>
        <w:t xml:space="preserve"> in, </w:t>
      </w:r>
      <w:proofErr w:type="spellStart"/>
      <w:r w:rsidR="00AB1BC6">
        <w:rPr>
          <w:rFonts w:eastAsia="Times New Roman" w:cs="Times New Roman"/>
          <w:sz w:val="20"/>
          <w:szCs w:val="20"/>
          <w:lang w:val="en-GB"/>
        </w:rPr>
        <w:t>viverra</w:t>
      </w:r>
      <w:proofErr w:type="spellEnd"/>
      <w:r w:rsid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="00AB1BC6">
        <w:rPr>
          <w:rFonts w:eastAsia="Times New Roman" w:cs="Times New Roman"/>
          <w:sz w:val="20"/>
          <w:szCs w:val="20"/>
          <w:lang w:val="en-GB"/>
        </w:rPr>
        <w:t>quis</w:t>
      </w:r>
      <w:proofErr w:type="spellEnd"/>
      <w:r w:rsidR="00AB1BC6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="00AB1BC6">
        <w:rPr>
          <w:rFonts w:eastAsia="Times New Roman" w:cs="Times New Roman"/>
          <w:sz w:val="20"/>
          <w:szCs w:val="20"/>
          <w:lang w:val="en-GB"/>
        </w:rPr>
        <w:t>feugiat</w:t>
      </w:r>
      <w:proofErr w:type="spellEnd"/>
      <w:r w:rsidR="00AB1BC6">
        <w:rPr>
          <w:rFonts w:eastAsia="Times New Roman" w:cs="Times New Roman"/>
          <w:sz w:val="20"/>
          <w:szCs w:val="20"/>
          <w:lang w:val="en-GB"/>
        </w:rPr>
        <w:t xml:space="preserve"> a</w:t>
      </w:r>
    </w:p>
    <w:p w:rsidRPr="00DB1BDD" w:rsidR="009D434E" w:rsidP="00E41B9C" w:rsidRDefault="009D434E" w14:paraId="4836F28F" w14:textId="61CBB641">
      <w:pPr>
        <w:spacing w:after="0" w:line="240" w:lineRule="auto"/>
        <w:jc w:val="both"/>
        <w:rPr>
          <w:sz w:val="20"/>
          <w:szCs w:val="20"/>
          <w:lang w:val="en-GB"/>
        </w:rPr>
      </w:pPr>
    </w:p>
    <w:p w:rsidRPr="00940EEE" w:rsidR="00F53DF1" w:rsidRDefault="00F53DF1" w14:paraId="4836F290" w14:textId="77777777">
      <w:pPr>
        <w:pStyle w:val="Hheading3"/>
        <w:shd w:val="clear" w:color="auto" w:fill="9AC2B7"/>
        <w:spacing w:before="0" w:after="0"/>
        <w:jc w:val="both"/>
        <w:rPr>
          <w:rFonts w:asciiTheme="minorHAnsi" w:hAnsiTheme="minorHAnsi"/>
          <w:sz w:val="20"/>
          <w:szCs w:val="20"/>
        </w:rPr>
      </w:pPr>
      <w:r w:rsidRPr="00940EEE">
        <w:rPr>
          <w:rFonts w:asciiTheme="minorHAnsi" w:hAnsiTheme="minorHAnsi"/>
          <w:sz w:val="20"/>
          <w:szCs w:val="20"/>
        </w:rPr>
        <w:t>Reference points</w:t>
      </w:r>
    </w:p>
    <w:p w:rsidRPr="00C722CC" w:rsidR="0024704C" w:rsidP="00E41B9C" w:rsidRDefault="0024704C" w14:paraId="4836F291" w14:textId="77777777">
      <w:pPr>
        <w:keepNext/>
        <w:spacing w:after="0" w:line="240" w:lineRule="auto"/>
        <w:ind w:left="1134" w:hanging="1134"/>
        <w:jc w:val="both"/>
        <w:rPr>
          <w:rFonts w:eastAsia="Times New Roman" w:cs="Times New Roman"/>
          <w:sz w:val="18"/>
          <w:szCs w:val="18"/>
          <w:lang w:val="en-GB"/>
        </w:rPr>
      </w:pPr>
    </w:p>
    <w:p w:rsidR="0024704C" w:rsidP="00AB1BC6" w:rsidRDefault="00AB1BC6" w14:paraId="4836F2C9" w14:textId="19F6F9F2">
      <w:pPr>
        <w:spacing w:after="0" w:line="240" w:lineRule="auto"/>
        <w:jc w:val="both"/>
        <w:rPr>
          <w:iCs/>
          <w:sz w:val="20"/>
          <w:szCs w:val="20"/>
          <w:lang w:val="en-GB"/>
        </w:rPr>
      </w:pPr>
      <w:r w:rsidRPr="00310237">
        <w:rPr>
          <w:iCs/>
          <w:sz w:val="20"/>
          <w:szCs w:val="20"/>
          <w:lang w:val="en-GB"/>
        </w:rPr>
        <w:t>No reference points are defined for this stock.</w:t>
      </w:r>
    </w:p>
    <w:p w:rsidRPr="001A4BA1" w:rsidR="00AB1BC6" w:rsidP="00AB1BC6" w:rsidRDefault="00AB1BC6" w14:paraId="32DF79F4" w14:textId="77777777">
      <w:pPr>
        <w:spacing w:after="0" w:line="240" w:lineRule="auto"/>
        <w:jc w:val="both"/>
        <w:rPr>
          <w:b/>
          <w:sz w:val="20"/>
          <w:szCs w:val="20"/>
          <w:lang w:val="en-GB"/>
        </w:rPr>
      </w:pPr>
    </w:p>
    <w:p w:rsidRPr="00940EEE" w:rsidR="003C1C45" w:rsidP="003C1C45" w:rsidRDefault="003C1C45" w14:paraId="4836F2CA" w14:textId="4F25BBE1">
      <w:pPr>
        <w:pStyle w:val="Hheading3"/>
        <w:shd w:val="clear" w:color="auto" w:fill="9AC2B7"/>
        <w:spacing w:before="0" w:after="0"/>
        <w:jc w:val="both"/>
        <w:rPr>
          <w:rFonts w:asciiTheme="minorHAnsi" w:hAnsiTheme="minorHAnsi"/>
          <w:sz w:val="20"/>
          <w:szCs w:val="20"/>
        </w:rPr>
      </w:pPr>
      <w:r w:rsidRPr="00940EEE">
        <w:rPr>
          <w:rFonts w:asciiTheme="minorHAnsi" w:hAnsiTheme="minorHAnsi"/>
          <w:sz w:val="20"/>
          <w:szCs w:val="20"/>
        </w:rPr>
        <w:t xml:space="preserve">Basis of the </w:t>
      </w:r>
      <w:proofErr w:type="spellStart"/>
      <w:r w:rsidRPr="00940EEE">
        <w:rPr>
          <w:rFonts w:asciiTheme="minorHAnsi" w:hAnsiTheme="minorHAnsi"/>
          <w:sz w:val="20"/>
          <w:szCs w:val="20"/>
        </w:rPr>
        <w:t>assessment</w:t>
      </w:r>
      <w:r w:rsidR="0004105C">
        <w:rPr>
          <w:rFonts w:asciiTheme="minorHAnsi" w:hAnsiTheme="minorHAnsi"/>
          <w:sz w:val="20"/>
          <w:szCs w:val="20"/>
        </w:rPr>
        <w:t>f</w:t>
      </w:r>
      <w:proofErr w:type="spellEnd"/>
    </w:p>
    <w:p w:rsidRPr="00940EEE" w:rsidR="003C1C45" w:rsidP="003C1C45" w:rsidRDefault="003C1C45" w14:paraId="4836F2CB" w14:textId="77777777">
      <w:pPr>
        <w:spacing w:after="0"/>
        <w:rPr>
          <w:rFonts w:eastAsia="Times New Roman" w:cs="Times New Roman"/>
          <w:sz w:val="18"/>
          <w:szCs w:val="18"/>
          <w:lang w:val="en-GB"/>
        </w:rPr>
      </w:pPr>
    </w:p>
    <w:p>
      <w:pPr>
        <w:pBdr/>
        <w:spacing w:before="20" w:after="20"/>
        <w:ind w:left="20" w:right="20"/>
        <w:jc w:val="left"/>
      </w:pPr>
      <w:bookmarkStart w:name="TABLE_4" w:id="12"/>
      <w:r/>
      <w:bookmarkEnd w:id="12"/>
      <w:r>
        <w:rPr>
          <w:rFonts w:ascii="Calibri" w:hAnsi="Calibri" w:cs="Calibri"/>
          <w:b w:val="true"/>
          <w:color w:val="000000"/>
          <w:sz w:val="18"/>
        </w:rPr>
        <w:t xml:space="preserve">Table 6.3.9.4	</w:t>
      </w:r>
      <w:r>
        <w:rPr>
          <w:rFonts w:ascii="Calibri" w:hAnsi="Calibri" w:cs="Calibri"/>
          <w:color w:val="000000"/>
          <w:sz w:val="18"/>
        </w:rPr>
        <w:t xml:space="preserve">Grey gurnard in Subarea IV and Divisions VIId and IIIa. The basis of the assessment.</w:t>
      </w:r>
    </w:p>
    <w:tbl>
      <w:tblPr>
        <w:jc w:val="left"/>
        <w:tblLayout w:type="fixed"/>
      </w:tblPr>
      <w:tblGrid>
        <w:gridCol w:w="2012"/>
        <w:gridCol w:w="8192"/>
      </w:tblGrid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8EAEA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ICES stock data category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3.2.0 (ICES, 2016b)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8EAEA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Assessment type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Trends-based assessment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8EAEA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Input data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One survey index (IBTS-Q1), with maturity and length-weight relationship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8EAEA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Discards and bycatch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Discards only occur in the human consumption fisheries, and have been quantified for the period 2012–2015. Discards ranged between 72% and 89% of the total catch. In 2015 discard information was provided for 75% of the total landings.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8EAEA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Indicators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None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8EAEA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Other information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2011 was the first year ICES advised on grey gurnard in the Northeast Atlantic. In 2012 the advice was split into ecoregions.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8EAEA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Working group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Working Group on the Assessment of Demersal Stocks in the North Sea and Skagerrak (WGNSSK)</w:t>
            </w:r>
          </w:p>
        </w:tc>
      </w:tr>
    </w:tbl>
    <w:p w:rsidR="00AB1BC6" w:rsidP="00AB1BC6" w:rsidRDefault="00AB1BC6" w14:paraId="0FDE7498" w14:textId="77777777">
      <w:pPr>
        <w:spacing w:after="0"/>
        <w:rPr>
          <w:rFonts w:eastAsia="Times New Roman" w:cs="Arial"/>
          <w:b/>
          <w:bCs/>
          <w:spacing w:val="6"/>
          <w:kern w:val="32"/>
          <w:sz w:val="20"/>
          <w:szCs w:val="20"/>
          <w:lang w:val="en-GB"/>
        </w:rPr>
      </w:pPr>
    </w:p>
    <w:p w:rsidRPr="00940EEE" w:rsidR="00630074" w:rsidP="00630074" w:rsidRDefault="00630074" w14:paraId="4836F2E4" w14:textId="77777777">
      <w:pPr>
        <w:pStyle w:val="Hheading3"/>
        <w:shd w:val="clear" w:color="auto" w:fill="9AC2B7"/>
        <w:spacing w:before="0" w:after="0"/>
        <w:jc w:val="both"/>
        <w:rPr>
          <w:rFonts w:asciiTheme="minorHAnsi" w:hAnsiTheme="minorHAnsi"/>
          <w:sz w:val="20"/>
          <w:szCs w:val="20"/>
        </w:rPr>
      </w:pPr>
      <w:r w:rsidRPr="00940EEE">
        <w:rPr>
          <w:rFonts w:asciiTheme="minorHAnsi" w:hAnsiTheme="minorHAnsi"/>
          <w:sz w:val="20"/>
          <w:szCs w:val="20"/>
        </w:rPr>
        <w:t>Information from stakeholders</w:t>
      </w:r>
    </w:p>
    <w:p w:rsidR="00270215" w:rsidP="00630074" w:rsidRDefault="00270215" w14:paraId="4836F2E6" w14:textId="77777777">
      <w:pPr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</w:p>
    <w:p w:rsidRPr="00310237" w:rsidR="00AB1BC6" w:rsidP="00AB1BC6" w:rsidRDefault="00AB1BC6" w14:paraId="795CB9DB" w14:textId="77777777">
      <w:pPr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310237">
        <w:rPr>
          <w:rFonts w:cs="Times New Roman"/>
          <w:sz w:val="20"/>
          <w:szCs w:val="20"/>
          <w:lang w:val="en-US"/>
        </w:rPr>
        <w:t>There is no available information.</w:t>
      </w:r>
    </w:p>
    <w:p w:rsidRPr="00105591" w:rsidR="00A91409" w:rsidP="00630074" w:rsidRDefault="00A91409" w14:paraId="4836F2EC" w14:textId="77777777">
      <w:pPr>
        <w:spacing w:after="0" w:line="240" w:lineRule="auto"/>
        <w:jc w:val="both"/>
        <w:rPr>
          <w:rFonts w:cs="Times New Roman"/>
          <w:sz w:val="18"/>
          <w:szCs w:val="18"/>
          <w:lang w:val="en-US"/>
        </w:rPr>
      </w:pPr>
    </w:p>
    <w:p w:rsidRPr="00940EEE" w:rsidR="00CC30C5" w:rsidP="00E41B9C" w:rsidRDefault="00CC30C5" w14:paraId="4836F2ED" w14:textId="77777777">
      <w:pPr>
        <w:keepNext/>
        <w:shd w:val="clear" w:color="auto" w:fill="9AC2B7"/>
        <w:spacing w:after="0" w:line="240" w:lineRule="auto"/>
        <w:ind w:left="1134" w:hanging="1134"/>
        <w:jc w:val="both"/>
        <w:rPr>
          <w:rFonts w:eastAsia="Times New Roman" w:cs="Times New Roman"/>
          <w:b/>
          <w:sz w:val="20"/>
          <w:szCs w:val="20"/>
          <w:lang w:val="en-GB"/>
        </w:rPr>
      </w:pPr>
      <w:r w:rsidRPr="00940EEE">
        <w:rPr>
          <w:rFonts w:eastAsia="Times New Roman" w:cs="Times New Roman"/>
          <w:b/>
          <w:sz w:val="20"/>
          <w:szCs w:val="20"/>
          <w:lang w:val="en-GB"/>
        </w:rPr>
        <w:t>History of advice, catch</w:t>
      </w:r>
      <w:r w:rsidR="002C76B5">
        <w:rPr>
          <w:rFonts w:eastAsia="Times New Roman" w:cs="Times New Roman"/>
          <w:b/>
          <w:sz w:val="20"/>
          <w:szCs w:val="20"/>
          <w:lang w:val="en-GB"/>
        </w:rPr>
        <w:t>,</w:t>
      </w:r>
      <w:r w:rsidRPr="00940EEE">
        <w:rPr>
          <w:rFonts w:eastAsia="Times New Roman" w:cs="Times New Roman"/>
          <w:b/>
          <w:sz w:val="20"/>
          <w:szCs w:val="20"/>
          <w:lang w:val="en-GB"/>
        </w:rPr>
        <w:t xml:space="preserve"> and management</w:t>
      </w:r>
    </w:p>
    <w:p w:rsidRPr="00CC39CF" w:rsidR="0024704C" w:rsidP="00E41B9C" w:rsidRDefault="0024704C" w14:paraId="4836F2EE" w14:textId="77777777">
      <w:pPr>
        <w:keepNext/>
        <w:spacing w:after="0"/>
        <w:rPr>
          <w:rFonts w:eastAsia="Times New Roman" w:cs="Times New Roman"/>
          <w:sz w:val="18"/>
          <w:szCs w:val="18"/>
          <w:lang w:val="en-GB"/>
        </w:rPr>
      </w:pPr>
    </w:p>
    <w:p>
      <w:pPr>
        <w:pBdr/>
        <w:spacing w:before="20" w:after="20"/>
        <w:ind w:left="20" w:right="20"/>
        <w:jc w:val="left"/>
      </w:pPr>
      <w:bookmarkStart w:name="TABLE_5" w:id="14"/>
      <w:r/>
      <w:bookmarkEnd w:id="14"/>
      <w:r>
        <w:rPr>
          <w:rFonts w:ascii="Calibri" w:hAnsi="Calibri" w:cs="Calibri"/>
          <w:b w:val="true"/>
          <w:color w:val="000000"/>
          <w:sz w:val="18"/>
        </w:rPr>
        <w:t xml:space="preserve">Table 6.3.9.5	</w:t>
      </w:r>
      <w:r>
        <w:rPr>
          <w:rFonts w:ascii="Calibri" w:hAnsi="Calibri" w:cs="Calibri"/>
          <w:color w:val="000000"/>
          <w:sz w:val="18"/>
        </w:rPr>
        <w:t xml:space="preserve">Grey gurnard in Subarea IV and Divisions VIId and IIIa. History of ICES advice, the agreed TAC, and ICES estimates of landings. All weights in thousand tonnes.</w:t>
      </w:r>
    </w:p>
    <w:tbl>
      <w:tblPr>
        <w:jc w:val="left"/>
        <w:tblLayout w:type="fixed"/>
      </w:tblPr>
      <w:tblGrid>
        <w:gridCol w:w="1450"/>
        <w:gridCol w:w="1450"/>
        <w:gridCol w:w="1450"/>
        <w:gridCol w:w="1450"/>
        <w:gridCol w:w="1450"/>
        <w:gridCol w:w="1450"/>
        <w:gridCol w:w="1450"/>
      </w:tblGrid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8EAEA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Year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8EAEA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ICES advice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8EAEA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Predicted catch corresp. to advice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8EAEA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Official landings in 4, 3.a and 7.d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8EAEA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ICES landings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8EAEA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ICES discards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8EAEA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ICES catch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2009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285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2010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388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2011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442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2012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No increase in catch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658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904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6358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7262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2013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No increase in catch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527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975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7735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8710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2014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No new advice, same as for 2013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500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1761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6248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8009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2015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No new advice, same as for 2013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777*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2026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5290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7316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No new advice, same as for 2013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2017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Precautionary approach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8813**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2018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Precautionary approach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8813**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2018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left w:w="40" w:type="dxa"/>
              <w:right w:w="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  <w:r>
              <w:rPr>
                <w:rFonts w:ascii="Calibri" w:hAnsi="Calibri" w:cs="Calibri"/>
                <w:color w:val="000000"/>
                <w:sz w:val="18"/>
              </w:rPr>
              <w:t xml:space="preserve"/>
            </w:r>
          </w:p>
        </w:tc>
      </w:tr>
    </w:tbl>
    <w:p w:rsidR="008F5DEA" w:rsidP="00E41B9C" w:rsidRDefault="008F5DEA" w14:paraId="6FCD012F" w14:textId="77777777">
      <w:pPr>
        <w:tabs>
          <w:tab w:val="left" w:pos="851"/>
        </w:tabs>
        <w:suppressAutoHyphens/>
        <w:spacing w:after="0" w:line="240" w:lineRule="auto"/>
        <w:ind w:left="1304" w:hanging="1304"/>
        <w:rPr>
          <w:rFonts w:eastAsia="Times New Roman" w:cs="Times New Roman"/>
          <w:b/>
          <w:sz w:val="18"/>
          <w:szCs w:val="18"/>
          <w:lang w:val="en-GB"/>
        </w:rPr>
      </w:pPr>
    </w:p>
    <w:p w:rsidRPr="00940EEE" w:rsidR="00CC30C5" w:rsidP="001474BD" w:rsidRDefault="00CC30C5" w14:paraId="4836F6F6" w14:textId="77777777">
      <w:pPr>
        <w:shd w:val="clear" w:color="auto" w:fill="9AC2B7"/>
        <w:spacing w:after="0" w:line="240" w:lineRule="auto"/>
        <w:jc w:val="both"/>
        <w:rPr>
          <w:rFonts w:eastAsia="Times New Roman" w:cs="Times New Roman"/>
          <w:b/>
          <w:sz w:val="20"/>
          <w:szCs w:val="20"/>
          <w:lang w:val="en-GB"/>
        </w:rPr>
      </w:pPr>
      <w:r w:rsidRPr="00940EEE">
        <w:rPr>
          <w:rFonts w:eastAsia="Times New Roman" w:cs="Times New Roman"/>
          <w:b/>
          <w:sz w:val="20"/>
          <w:szCs w:val="20"/>
          <w:lang w:val="en-GB"/>
        </w:rPr>
        <w:t>History of catch and landings</w:t>
      </w:r>
    </w:p>
    <w:p w:rsidR="00266658" w:rsidP="00165712" w:rsidRDefault="00266658" w14:paraId="4836F6F7" w14:textId="77777777">
      <w:pPr>
        <w:spacing w:after="0" w:line="240" w:lineRule="auto"/>
        <w:jc w:val="both"/>
        <w:rPr>
          <w:rFonts w:eastAsia="Times New Roman" w:cs="Times New Roman"/>
          <w:sz w:val="18"/>
          <w:szCs w:val="18"/>
          <w:lang w:val="en-GB"/>
        </w:rPr>
      </w:pPr>
    </w:p>
    <w:p>
      <w:pPr>
        <w:pBdr/>
        <w:spacing w:before="20" w:after="20"/>
        <w:ind w:left="20" w:right="20"/>
        <w:jc w:val="left"/>
      </w:pPr>
      <w:bookmarkStart w:name="TABLE_6" w:id="16"/>
      <w:r/>
      <w:bookmarkEnd w:id="16"/>
      <w:r>
        <w:rPr>
          <w:rFonts w:ascii="Calibri" w:hAnsi="Calibri" w:cs="Calibri"/>
          <w:b w:val="true"/>
          <w:color w:val="000000"/>
          <w:sz w:val="18"/>
        </w:rPr>
        <w:t xml:space="preserve">Table 6.3.9.6	</w:t>
      </w:r>
      <w:r>
        <w:rPr>
          <w:rFonts w:ascii="Calibri" w:hAnsi="Calibri" w:cs="Calibri"/>
          <w:color w:val="000000"/>
          <w:sz w:val="18"/>
        </w:rPr>
        <w:t xml:space="preserve">Grey gurnard in Subarea IV and Divisions VIId and IIIa. Catch distribution by fleet in 2016 as estimated by ICES.</w:t>
      </w:r>
    </w:p>
    <w:tbl>
      <w:tblPr>
        <w:tblStyle w:val="TableGrid"/>
        <w:tblW w:w="0" w:type="auto"/>
        <w:jc w:val="center"/>
        <w:tblLook w:firstRow="1" w:lastRow="0" w:firstColumn="1" w:lastColumn="0" w:noHBand="0" w:noVBand="1" w:val="04A0"/>
      </w:tblPr>
      <w:tblGrid>
        <w:gridCol w:w="2207"/>
        <w:gridCol w:w="1958"/>
        <w:gridCol w:w="1958"/>
        <w:gridCol w:w="1958"/>
        <w:gridCol w:w="2003"/>
      </w:tblGrid>
      <w:tr w:rsidRPr="00F43717" w:rsidR="00FF0CBE" w:rsidTr="00BB1901" w14:paraId="4BDE8D7B" w14:textId="77777777">
        <w:trPr>
          <w:trHeight w:val="283"/>
          <w:jc w:val="center"/>
        </w:trPr>
        <w:tc>
          <w:tcPr>
            <w:tcW w:w="2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8EAEA"/>
            <w:vAlign w:val="center"/>
          </w:tcPr>
          <w:p w:rsidRPr="00F43717" w:rsidR="00FF0CBE" w:rsidP="00BB1901" w:rsidRDefault="00FF0CBE" w14:paraId="49AF8177" w14:textId="77777777">
            <w:pPr>
              <w:jc w:val="center"/>
              <w:rPr>
                <w:rFonts w:eastAsia="Times New Roman" w:cs="Times New Roman"/>
                <w:sz w:val="18"/>
                <w:szCs w:val="18"/>
                <w:lang w:val="en-US"/>
              </w:rPr>
            </w:pPr>
            <w:commentRangeStart w:id="17"/>
            <w:r w:rsidRPr="00F43717">
              <w:rPr>
                <w:rFonts w:eastAsia="Times New Roman" w:cs="Times New Roman"/>
                <w:sz w:val="18"/>
                <w:szCs w:val="18"/>
                <w:lang w:val="en-US"/>
              </w:rPr>
              <w:t>Catch (201</w:t>
            </w:r>
            <w:r>
              <w:rPr>
                <w:rFonts w:eastAsia="Times New Roman" w:cs="Times New Roman"/>
                <w:sz w:val="18"/>
                <w:szCs w:val="18"/>
                <w:lang w:val="en-US"/>
              </w:rPr>
              <w:t>6</w:t>
            </w:r>
            <w:r w:rsidRPr="00F43717">
              <w:rPr>
                <w:rFonts w:eastAsia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587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E8EAEA"/>
            <w:vAlign w:val="center"/>
          </w:tcPr>
          <w:p w:rsidRPr="00F43717" w:rsidR="00FF0CBE" w:rsidP="00BB1901" w:rsidRDefault="00FF0CBE" w14:paraId="6D0696B5" w14:textId="77777777">
            <w:pPr>
              <w:jc w:val="center"/>
              <w:rPr>
                <w:rFonts w:eastAsia="Times New Roman" w:cs="Times New Roman"/>
                <w:sz w:val="18"/>
                <w:szCs w:val="18"/>
                <w:lang w:val="en-US"/>
              </w:rPr>
            </w:pPr>
            <w:r w:rsidRPr="00F43717">
              <w:rPr>
                <w:rFonts w:eastAsia="Times New Roman" w:cs="Times New Roman"/>
                <w:sz w:val="18"/>
                <w:szCs w:val="18"/>
                <w:lang w:val="en-US"/>
              </w:rPr>
              <w:t>Landings</w:t>
            </w:r>
          </w:p>
        </w:tc>
        <w:tc>
          <w:tcPr>
            <w:tcW w:w="2003" w:type="dxa"/>
            <w:tcBorders>
              <w:top w:val="single" w:color="auto" w:sz="4" w:space="0"/>
              <w:bottom w:val="single" w:color="auto" w:sz="4" w:space="0"/>
            </w:tcBorders>
            <w:shd w:val="clear" w:color="auto" w:fill="E8EAEA"/>
            <w:vAlign w:val="center"/>
          </w:tcPr>
          <w:p w:rsidRPr="00F43717" w:rsidR="00FF0CBE" w:rsidP="00BB1901" w:rsidRDefault="00FF0CBE" w14:paraId="30D08DD9" w14:textId="77777777">
            <w:pPr>
              <w:jc w:val="center"/>
              <w:rPr>
                <w:rFonts w:eastAsia="Times New Roman" w:cs="Times New Roman"/>
                <w:sz w:val="18"/>
                <w:szCs w:val="18"/>
                <w:lang w:val="en-US"/>
              </w:rPr>
            </w:pPr>
            <w:r w:rsidRPr="00F43717">
              <w:rPr>
                <w:rFonts w:eastAsia="Times New Roman" w:cs="Times New Roman"/>
                <w:sz w:val="18"/>
                <w:szCs w:val="18"/>
                <w:lang w:val="en-US"/>
              </w:rPr>
              <w:t>Discards</w:t>
            </w:r>
          </w:p>
        </w:tc>
      </w:tr>
      <w:tr w:rsidRPr="00540490" w:rsidR="00FF0CBE" w:rsidTr="00BB1901" w14:paraId="69218309" w14:textId="77777777">
        <w:trPr>
          <w:trHeight w:val="20"/>
          <w:jc w:val="center"/>
        </w:trPr>
        <w:tc>
          <w:tcPr>
            <w:tcW w:w="2207" w:type="dxa"/>
            <w:vMerge w:val="restart"/>
            <w:tcBorders>
              <w:top w:val="single" w:color="auto" w:sz="4" w:space="0"/>
            </w:tcBorders>
            <w:vAlign w:val="center"/>
          </w:tcPr>
          <w:p w:rsidRPr="00F43717" w:rsidR="00FF0CBE" w:rsidP="00BB1901" w:rsidRDefault="00FF0CBE" w14:paraId="33E684BF" w14:textId="77777777">
            <w:pPr>
              <w:jc w:val="center"/>
              <w:rPr>
                <w:rFonts w:eastAsia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958" w:type="dxa"/>
            <w:tcBorders>
              <w:top w:val="single" w:color="auto" w:sz="4" w:space="0"/>
            </w:tcBorders>
            <w:vAlign w:val="center"/>
          </w:tcPr>
          <w:p w:rsidRPr="00F43717" w:rsidR="00FF0CBE" w:rsidP="00BB1901" w:rsidRDefault="00FF0CBE" w14:paraId="2D7F5DCB" w14:textId="77777777">
            <w:pPr>
              <w:jc w:val="center"/>
              <w:rPr>
                <w:rFonts w:eastAsia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958" w:type="dxa"/>
            <w:tcBorders>
              <w:top w:val="single" w:color="auto" w:sz="4" w:space="0"/>
            </w:tcBorders>
            <w:vAlign w:val="center"/>
          </w:tcPr>
          <w:p w:rsidRPr="00F43717" w:rsidR="00FF0CBE" w:rsidP="00BB1901" w:rsidRDefault="00FF0CBE" w14:paraId="0A3DF663" w14:textId="77777777">
            <w:pPr>
              <w:jc w:val="center"/>
              <w:rPr>
                <w:rFonts w:eastAsia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958" w:type="dxa"/>
            <w:tcBorders>
              <w:top w:val="single" w:color="auto" w:sz="4" w:space="0"/>
            </w:tcBorders>
            <w:vAlign w:val="center"/>
          </w:tcPr>
          <w:p w:rsidRPr="00F43717" w:rsidR="00FF0CBE" w:rsidP="00BB1901" w:rsidRDefault="00FF0CBE" w14:paraId="0621EBF1" w14:textId="77777777">
            <w:pPr>
              <w:jc w:val="center"/>
              <w:rPr>
                <w:rFonts w:eastAsia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003" w:type="dxa"/>
            <w:vMerge w:val="restart"/>
            <w:tcBorders>
              <w:top w:val="single" w:color="auto" w:sz="4" w:space="0"/>
            </w:tcBorders>
            <w:vAlign w:val="center"/>
          </w:tcPr>
          <w:p w:rsidRPr="00F43717" w:rsidR="00FF0CBE" w:rsidP="00BB1901" w:rsidRDefault="00FF0CBE" w14:paraId="5E6523F6" w14:textId="77777777">
            <w:pPr>
              <w:jc w:val="center"/>
              <w:rPr>
                <w:rFonts w:eastAsia="Times New Roman" w:cs="Times New Roman"/>
                <w:sz w:val="18"/>
                <w:szCs w:val="18"/>
                <w:lang w:val="en-US"/>
              </w:rPr>
            </w:pPr>
          </w:p>
        </w:tc>
      </w:tr>
      <w:tr w:rsidRPr="00540490" w:rsidR="00FF0CBE" w:rsidTr="00BB1901" w14:paraId="73C07B8C" w14:textId="77777777">
        <w:trPr>
          <w:trHeight w:val="20"/>
          <w:jc w:val="center"/>
        </w:trPr>
        <w:tc>
          <w:tcPr>
            <w:tcW w:w="2207" w:type="dxa"/>
            <w:vMerge/>
            <w:vAlign w:val="center"/>
          </w:tcPr>
          <w:p w:rsidRPr="00F43717" w:rsidR="00FF0CBE" w:rsidP="00BB1901" w:rsidRDefault="00FF0CBE" w14:paraId="45ACD4F9" w14:textId="77777777">
            <w:pPr>
              <w:rPr>
                <w:rFonts w:eastAsia="Times New Roman" w:cs="Times New Roman"/>
                <w:sz w:val="18"/>
                <w:szCs w:val="18"/>
                <w:lang w:val="en-US"/>
              </w:rPr>
            </w:pPr>
          </w:p>
        </w:tc>
        <w:commentRangeEnd w:id="17"/>
        <w:tc>
          <w:tcPr>
            <w:tcW w:w="5874" w:type="dxa"/>
            <w:gridSpan w:val="3"/>
            <w:vAlign w:val="center"/>
          </w:tcPr>
          <w:p w:rsidRPr="00F43717" w:rsidR="00FF0CBE" w:rsidP="00BB1901" w:rsidRDefault="00FF0CBE" w14:paraId="12733318" w14:textId="77777777">
            <w:pPr>
              <w:jc w:val="center"/>
              <w:rPr>
                <w:rFonts w:eastAsia="Times New Roman" w:cs="Times New Roman"/>
                <w:sz w:val="18"/>
                <w:szCs w:val="18"/>
                <w:lang w:val="en-US"/>
              </w:rPr>
            </w:pPr>
            <w:r>
              <w:rPr>
                <w:rStyle w:val="CommentReference"/>
              </w:rPr>
              <w:commentReference w:id="17"/>
            </w:r>
          </w:p>
        </w:tc>
        <w:tc>
          <w:tcPr>
            <w:tcW w:w="2003" w:type="dxa"/>
            <w:vMerge/>
            <w:vAlign w:val="center"/>
          </w:tcPr>
          <w:p w:rsidRPr="00F43717" w:rsidR="00FF0CBE" w:rsidP="00BB1901" w:rsidRDefault="00FF0CBE" w14:paraId="687BE301" w14:textId="77777777">
            <w:pPr>
              <w:rPr>
                <w:rFonts w:eastAsia="Times New Roman" w:cs="Times New Roman"/>
                <w:sz w:val="18"/>
                <w:szCs w:val="18"/>
                <w:lang w:val="en-US"/>
              </w:rPr>
            </w:pPr>
          </w:p>
        </w:tc>
      </w:tr>
    </w:tbl>
    <w:p w:rsidR="00301FB8" w:rsidP="00C722CC" w:rsidRDefault="00301FB8" w14:paraId="4836F70B" w14:textId="77777777">
      <w:pPr>
        <w:spacing w:after="0" w:line="240" w:lineRule="auto"/>
        <w:ind w:left="1304" w:hanging="1304"/>
        <w:jc w:val="both"/>
        <w:rPr>
          <w:rFonts w:eastAsia="Times New Roman" w:cs="Times New Roman"/>
          <w:b/>
          <w:sz w:val="18"/>
          <w:szCs w:val="18"/>
          <w:lang w:val="en-GB"/>
        </w:rPr>
      </w:pPr>
    </w:p>
    <w:p>
      <w:pPr>
        <w:pBdr/>
        <w:spacing w:before="20" w:after="20"/>
        <w:ind w:left="20" w:right="20"/>
        <w:jc w:val="left"/>
      </w:pPr>
      <w:bookmarkStart w:name="TABLE_7" w:id="18"/>
      <w:r/>
      <w:bookmarkEnd w:id="18"/>
      <w:r>
        <w:rPr>
          <w:rFonts w:ascii="Calibri" w:hAnsi="Calibri" w:cs="Calibri"/>
          <w:b w:val="true"/>
          <w:color w:val="000000"/>
          <w:sz w:val="18"/>
        </w:rPr>
        <w:t xml:space="preserve">Table 6.3.9.7	</w:t>
      </w:r>
      <w:r>
        <w:rPr>
          <w:rFonts w:ascii="Calibri" w:hAnsi="Calibri" w:cs="Calibri"/>
          <w:color w:val="000000"/>
          <w:sz w:val="18"/>
        </w:rPr>
        <w:t xml:space="preserve">Grey gurnard in Subarea IV and Divisions VIId and IIIa. History of commercial landings; official values presented by area for each country participating in the fishery.</w:t>
      </w:r>
    </w:p>
    <w:p w:rsidR="002F779C" w:rsidP="002F779C" w:rsidRDefault="002F779C" w14:paraId="78F458C3" w14:textId="29160BCF">
      <w:pPr>
        <w:spacing w:after="0" w:line="240" w:lineRule="auto"/>
        <w:jc w:val="both"/>
        <w:rPr>
          <w:sz w:val="20"/>
          <w:szCs w:val="20"/>
          <w:lang w:val="en-GB"/>
        </w:rPr>
      </w:pPr>
      <w:commentRangeStart w:id="19"/>
      <w:r>
        <w:rPr>
          <w:sz w:val="20"/>
          <w:szCs w:val="20"/>
          <w:lang w:val="en-GB"/>
        </w:rPr>
        <w:t>Insert</w:t>
      </w:r>
      <w:r w:rsidR="00FF0CBE">
        <w:rPr>
          <w:sz w:val="20"/>
          <w:szCs w:val="20"/>
          <w:lang w:val="en-GB"/>
        </w:rPr>
        <w:t xml:space="preserve"> Table</w:t>
      </w:r>
      <w:commentRangeEnd w:id="19"/>
      <w:r>
        <w:rPr>
          <w:rStyle w:val="CommentReference"/>
        </w:rPr>
        <w:commentReference w:id="19"/>
      </w:r>
    </w:p>
    <w:p w:rsidRPr="002F779C" w:rsidR="00F15BB1" w:rsidP="00742D29" w:rsidRDefault="00F15BB1" w14:paraId="4836F8E5" w14:textId="3089A699">
      <w:pPr>
        <w:spacing w:after="0" w:line="240" w:lineRule="auto"/>
        <w:jc w:val="both"/>
        <w:rPr>
          <w:rFonts w:cs="Times New Roman"/>
          <w:b/>
          <w:sz w:val="20"/>
          <w:szCs w:val="20"/>
          <w:lang w:val="en-GB"/>
        </w:rPr>
      </w:pPr>
    </w:p>
    <w:p w:rsidRPr="00940EEE" w:rsidR="00CC30C5" w:rsidP="001474BD" w:rsidRDefault="00CC30C5" w14:paraId="4836F8E6" w14:textId="77777777">
      <w:pPr>
        <w:shd w:val="clear" w:color="auto" w:fill="9AC2B7"/>
        <w:spacing w:after="0" w:line="240" w:lineRule="auto"/>
        <w:jc w:val="both"/>
        <w:rPr>
          <w:rFonts w:eastAsia="Times New Roman" w:cs="Times New Roman"/>
          <w:b/>
          <w:sz w:val="20"/>
          <w:szCs w:val="20"/>
          <w:lang w:val="en-GB"/>
        </w:rPr>
      </w:pPr>
      <w:r w:rsidRPr="00940EEE">
        <w:rPr>
          <w:rFonts w:eastAsia="Times New Roman" w:cs="Times New Roman"/>
          <w:b/>
          <w:sz w:val="20"/>
          <w:szCs w:val="20"/>
          <w:lang w:val="en-GB"/>
        </w:rPr>
        <w:t>Summary of the assessment</w:t>
      </w:r>
    </w:p>
    <w:p w:rsidRPr="00C722CC" w:rsidR="0024704C" w:rsidP="00742D29" w:rsidRDefault="0024704C" w14:paraId="4836F8E7" w14:textId="77777777">
      <w:pPr>
        <w:spacing w:after="0" w:line="240" w:lineRule="auto"/>
        <w:jc w:val="both"/>
        <w:rPr>
          <w:rFonts w:eastAsia="Times New Roman" w:cs="Times New Roman"/>
          <w:sz w:val="18"/>
          <w:szCs w:val="18"/>
          <w:lang w:val="en-GB"/>
        </w:rPr>
      </w:pPr>
    </w:p>
    <w:p>
      <w:pPr>
        <w:pBdr/>
        <w:spacing w:before="20" w:after="20"/>
        <w:ind w:left="20" w:right="20"/>
        <w:jc w:val="left"/>
      </w:pPr>
      <w:bookmarkStart w:name="TABLE_8" w:id="20"/>
      <w:r/>
      <w:bookmarkEnd w:id="20"/>
      <w:r>
        <w:rPr>
          <w:rFonts w:ascii="Calibri" w:hAnsi="Calibri" w:cs="Calibri"/>
          <w:b w:val="true"/>
          <w:color w:val="000000"/>
          <w:sz w:val="18"/>
        </w:rPr>
        <w:t xml:space="preserve">Table 6.3.9.7	</w:t>
      </w:r>
      <w:r>
        <w:rPr>
          <w:rFonts w:ascii="Calibri" w:hAnsi="Calibri" w:cs="Calibri"/>
          <w:color w:val="000000"/>
          <w:sz w:val="18"/>
        </w:rPr>
        <w:t xml:space="preserve">Grey gurnard in Subarea IV and Divisions VIId and IIIa. Assessment summary (weights in tonnes).</w:t>
      </w:r>
    </w:p>
    <w:p w:rsidR="0024704C" w:rsidP="0024704C" w:rsidRDefault="0024704C" w14:paraId="4836FB80" w14:textId="77777777">
      <w:pPr>
        <w:spacing w:after="0" w:line="240" w:lineRule="auto"/>
        <w:jc w:val="both"/>
        <w:rPr>
          <w:rFonts w:eastAsia="Times New Roman" w:cs="Arial"/>
          <w:bCs/>
          <w:spacing w:val="6"/>
          <w:kern w:val="32"/>
          <w:sz w:val="18"/>
          <w:szCs w:val="18"/>
          <w:lang w:val="en-GB"/>
        </w:rPr>
      </w:pPr>
    </w:p>
    <w:p w:rsidR="002F779C" w:rsidP="002F779C" w:rsidRDefault="002F779C" w14:paraId="2A615977" w14:textId="24BF6CB0">
      <w:pPr>
        <w:spacing w:after="0" w:line="240" w:lineRule="auto"/>
        <w:jc w:val="both"/>
        <w:rPr>
          <w:sz w:val="20"/>
          <w:szCs w:val="20"/>
          <w:lang w:val="en-GB"/>
        </w:rPr>
      </w:pPr>
      <w:commentRangeStart w:id="21"/>
      <w:r>
        <w:rPr>
          <w:sz w:val="20"/>
          <w:szCs w:val="20"/>
          <w:lang w:val="en-GB"/>
        </w:rPr>
        <w:t xml:space="preserve">Insert </w:t>
      </w:r>
      <w:hyperlink w:history="true" r:id="rId14">
        <w:r w:rsidRPr="002F779C">
          <w:rPr>
            <w:rStyle w:val="Hyperlink"/>
            <w:sz w:val="20"/>
            <w:szCs w:val="20"/>
            <w:lang w:val="en-GB"/>
          </w:rPr>
          <w:t>Stock Assessment Graphs</w:t>
        </w:r>
      </w:hyperlink>
      <w:r>
        <w:rPr>
          <w:sz w:val="20"/>
          <w:szCs w:val="20"/>
          <w:lang w:val="en-GB"/>
        </w:rPr>
        <w:t xml:space="preserve"> table here</w:t>
      </w:r>
      <w:commentRangeEnd w:id="21"/>
      <w:r>
        <w:rPr>
          <w:rStyle w:val="CommentReference"/>
        </w:rPr>
        <w:commentReference w:id="21"/>
      </w:r>
    </w:p>
    <w:p w:rsidR="002F779C" w:rsidP="0024704C" w:rsidRDefault="002F779C" w14:paraId="4DD6E5A7" w14:textId="77777777">
      <w:pPr>
        <w:spacing w:after="0" w:line="240" w:lineRule="auto"/>
        <w:jc w:val="both"/>
        <w:rPr>
          <w:rFonts w:eastAsia="Times New Roman" w:cs="Arial"/>
          <w:bCs/>
          <w:spacing w:val="6"/>
          <w:kern w:val="32"/>
          <w:sz w:val="18"/>
          <w:szCs w:val="18"/>
          <w:lang w:val="en-GB"/>
        </w:rPr>
      </w:pPr>
    </w:p>
    <w:p w:rsidR="00DE5409" w:rsidRDefault="00DE5409" w14:paraId="3C0714A9" w14:textId="2B0AE6EB">
      <w:pPr>
        <w:rPr>
          <w:rFonts w:eastAsia="Times New Roman" w:cs="Arial"/>
          <w:b/>
          <w:bCs/>
          <w:spacing w:val="6"/>
          <w:kern w:val="32"/>
          <w:sz w:val="20"/>
          <w:szCs w:val="20"/>
          <w:lang w:val="en-GB"/>
        </w:rPr>
      </w:pPr>
      <w:r>
        <w:rPr>
          <w:rFonts w:eastAsia="Times New Roman" w:cs="Arial"/>
          <w:b/>
          <w:bCs/>
          <w:spacing w:val="6"/>
          <w:kern w:val="32"/>
          <w:sz w:val="20"/>
          <w:szCs w:val="20"/>
          <w:lang w:val="en-GB"/>
        </w:rPr>
        <w:br w:type="page"/>
      </w:r>
    </w:p>
    <w:p w:rsidRPr="00940EEE" w:rsidR="00F15BB1" w:rsidP="006A4DA0" w:rsidRDefault="00F15BB1" w14:paraId="4836FB81" w14:textId="2BA6E0B4">
      <w:pPr>
        <w:shd w:val="clear" w:color="auto" w:fill="9AC2B7"/>
        <w:spacing w:after="0" w:line="240" w:lineRule="auto"/>
        <w:jc w:val="both"/>
        <w:rPr>
          <w:rFonts w:cs="Times New Roman"/>
          <w:b/>
          <w:sz w:val="20"/>
          <w:szCs w:val="20"/>
          <w:lang w:val="en-US"/>
        </w:rPr>
      </w:pPr>
      <w:r w:rsidRPr="00940EEE">
        <w:rPr>
          <w:rFonts w:eastAsia="Times New Roman" w:cs="Arial"/>
          <w:b/>
          <w:bCs/>
          <w:spacing w:val="6"/>
          <w:kern w:val="32"/>
          <w:sz w:val="20"/>
          <w:szCs w:val="20"/>
          <w:lang w:val="en-GB"/>
        </w:rPr>
        <w:lastRenderedPageBreak/>
        <w:t>Sources and references</w:t>
      </w:r>
    </w:p>
    <w:p w:rsidRPr="00E41B9C" w:rsidR="00F076FA" w:rsidP="00780595" w:rsidRDefault="00F076FA" w14:paraId="3DBF3764" w14:textId="77777777">
      <w:pPr>
        <w:spacing w:after="0" w:line="240" w:lineRule="auto"/>
        <w:jc w:val="both"/>
        <w:rPr>
          <w:rFonts w:eastAsia="Times New Roman" w:cs="Arial"/>
          <w:bCs/>
          <w:spacing w:val="6"/>
          <w:kern w:val="32"/>
          <w:sz w:val="20"/>
          <w:szCs w:val="18"/>
          <w:lang w:val="en-GB"/>
        </w:rPr>
      </w:pPr>
    </w:p>
    <w:sectPr w:rsidRPr="00E41B9C" w:rsidR="00F076FA" w:rsidSect="0032698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560" w:right="900" w:bottom="1701" w:left="1134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Scott Large" w:date="2017-01-06T10:18:00Z" w:initials="SL">
    <w:p w14:paraId="7DC0DCC1" w14:textId="696A4ACE" w:rsidR="002F779C" w:rsidRPr="002F779C" w:rsidRDefault="002F779C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2F779C">
        <w:rPr>
          <w:lang w:val="en-GB"/>
        </w:rPr>
        <w:t>To be added by Advice Drafting Group</w:t>
      </w:r>
    </w:p>
  </w:comment>
  <w:comment w:id="2" w:author="Scott Large" w:date="2017-01-06T10:20:00Z" w:initials="SL">
    <w:p w14:paraId="718A9FDE" w14:textId="2FFEF75D" w:rsidR="002F779C" w:rsidRPr="002F779C" w:rsidRDefault="002F779C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2F779C">
        <w:rPr>
          <w:lang w:val="en-GB"/>
        </w:rPr>
        <w:t>Stock Coordinators –</w:t>
      </w:r>
      <w:r w:rsidR="006E44F9" w:rsidRPr="006E44F9">
        <w:rPr>
          <w:lang w:val="en-GB"/>
        </w:rPr>
        <w:t xml:space="preserve"> </w:t>
      </w:r>
      <w:r w:rsidR="006E44F9">
        <w:rPr>
          <w:lang w:val="en-GB"/>
        </w:rPr>
        <w:t xml:space="preserve">These figures are generated automatically with Stock Assessment Graphs. Download the standard figures from </w:t>
      </w:r>
      <w:r w:rsidR="006D6F7E">
        <w:fldChar w:fldCharType="begin"/>
      </w:r>
      <w:r w:rsidR="006D6F7E" w:rsidRPr="00CF7E0A">
        <w:rPr>
          <w:lang w:val="en-GB"/>
        </w:rPr>
        <w:instrText xml:space="preserve"> HYPERLINK "http://ices.dk/marine-data/tools/Pages/stock-assessment-graphs.aspx" </w:instrText>
      </w:r>
      <w:r w:rsidR="006D6F7E">
        <w:fldChar w:fldCharType="separate"/>
      </w:r>
      <w:r w:rsidR="006E44F9" w:rsidRPr="006E44F9">
        <w:rPr>
          <w:rStyle w:val="Hyperlink"/>
          <w:lang w:val="en-GB"/>
        </w:rPr>
        <w:t>SAG</w:t>
      </w:r>
      <w:r w:rsidR="006D6F7E">
        <w:rPr>
          <w:rStyle w:val="Hyperlink"/>
          <w:lang w:val="en-GB"/>
        </w:rPr>
        <w:fldChar w:fldCharType="end"/>
      </w:r>
      <w:r w:rsidR="006E44F9">
        <w:rPr>
          <w:lang w:val="en-GB"/>
        </w:rPr>
        <w:t>.</w:t>
      </w:r>
    </w:p>
  </w:comment>
  <w:comment w:id="5" w:author="Scott Large" w:date="2017-01-06T10:20:00Z" w:initials="SL">
    <w:p w14:paraId="6133EBBE" w14:textId="7A448C4C" w:rsidR="00F015F7" w:rsidRPr="002F779C" w:rsidRDefault="00F015F7" w:rsidP="00F015F7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2F779C">
        <w:rPr>
          <w:lang w:val="en-GB"/>
        </w:rPr>
        <w:t xml:space="preserve">Stock Coordinators – </w:t>
      </w:r>
      <w:r w:rsidR="006E44F9">
        <w:rPr>
          <w:lang w:val="en-GB"/>
        </w:rPr>
        <w:t xml:space="preserve">This table is generated automatically with Stock Assessment Graphs. Download </w:t>
      </w:r>
      <w:r>
        <w:rPr>
          <w:lang w:val="en-GB"/>
        </w:rPr>
        <w:t>the standard table</w:t>
      </w:r>
      <w:r w:rsidR="006E44F9">
        <w:rPr>
          <w:lang w:val="en-GB"/>
        </w:rPr>
        <w:t xml:space="preserve"> from </w:t>
      </w:r>
      <w:r w:rsidR="006D6F7E">
        <w:fldChar w:fldCharType="begin"/>
      </w:r>
      <w:r w:rsidR="006D6F7E" w:rsidRPr="00CF7E0A">
        <w:rPr>
          <w:lang w:val="en-GB"/>
        </w:rPr>
        <w:instrText xml:space="preserve"> HYPERLINK "http://ices.dk/marine-data/tools/Pages/stock-assessment-graphs.aspx" </w:instrText>
      </w:r>
      <w:r w:rsidR="006D6F7E">
        <w:fldChar w:fldCharType="separate"/>
      </w:r>
      <w:r w:rsidR="006E44F9" w:rsidRPr="006E44F9">
        <w:rPr>
          <w:rStyle w:val="Hyperlink"/>
          <w:lang w:val="en-GB"/>
        </w:rPr>
        <w:t>SAG</w:t>
      </w:r>
      <w:r w:rsidR="006D6F7E">
        <w:rPr>
          <w:rStyle w:val="Hyperlink"/>
          <w:lang w:val="en-GB"/>
        </w:rPr>
        <w:fldChar w:fldCharType="end"/>
      </w:r>
      <w:r w:rsidR="006E44F9">
        <w:rPr>
          <w:lang w:val="en-GB"/>
        </w:rPr>
        <w:t>.</w:t>
      </w:r>
    </w:p>
  </w:comment>
  <w:comment w:id="6" w:author="Scott Large" w:date="2017-01-06T10:20:00Z" w:initials="SL">
    <w:p w14:paraId="786BBF91" w14:textId="1F7C2D52" w:rsidR="002F779C" w:rsidRPr="002F779C" w:rsidRDefault="002F779C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2F779C">
        <w:rPr>
          <w:lang w:val="en-GB"/>
        </w:rPr>
        <w:t xml:space="preserve">Stock Coordinators – add the standard text from the </w:t>
      </w:r>
      <w:r w:rsidR="006D6F7E">
        <w:fldChar w:fldCharType="begin"/>
      </w:r>
      <w:r w:rsidR="006D6F7E" w:rsidRPr="00CF7E0A">
        <w:rPr>
          <w:lang w:val="en-GB"/>
        </w:rPr>
        <w:instrText xml:space="preserve"> HYPERLINK "http://community.ices</w:instrText>
      </w:r>
      <w:r w:rsidR="006D6F7E" w:rsidRPr="00CF7E0A">
        <w:rPr>
          <w:lang w:val="en-GB"/>
        </w:rPr>
        <w:instrText xml:space="preserve">.dk/admin/templates/Templates%20for%20advice/GuidanceForPreparingAdvice_2016.docx?Web=1" </w:instrText>
      </w:r>
      <w:r w:rsidR="006D6F7E">
        <w:fldChar w:fldCharType="separate"/>
      </w:r>
      <w:r w:rsidRPr="006E44F9">
        <w:rPr>
          <w:rStyle w:val="Hyperlink"/>
          <w:lang w:val="en-GB"/>
        </w:rPr>
        <w:t>ICES Guidance Document</w:t>
      </w:r>
      <w:r w:rsidR="006D6F7E">
        <w:rPr>
          <w:rStyle w:val="Hyperlink"/>
          <w:lang w:val="en-GB"/>
        </w:rPr>
        <w:fldChar w:fldCharType="end"/>
      </w:r>
    </w:p>
  </w:comment>
  <w:comment w:id="11" w:author="Scott Large" w:date="2017-01-06T10:21:00Z" w:initials="SL">
    <w:p w14:paraId="7E07A324" w14:textId="5DEF80F0" w:rsidR="002F779C" w:rsidRPr="00CF7E0A" w:rsidRDefault="002F779C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CF7E0A">
        <w:rPr>
          <w:lang w:val="en-GB"/>
        </w:rPr>
        <w:t>Stock Coordinators</w:t>
      </w:r>
    </w:p>
  </w:comment>
  <w:comment w:id="17" w:author="Scott Large" w:date="2017-01-06T10:37:00Z" w:initials="SL">
    <w:p w14:paraId="3A509010" w14:textId="36752D68" w:rsidR="00FF0CBE" w:rsidRPr="00FF0CBE" w:rsidRDefault="00FF0CBE">
      <w:pPr>
        <w:pStyle w:val="CommentText"/>
        <w:rPr>
          <w:rFonts w:ascii="Segoe UI Symbol" w:eastAsia="Malgun Gothic" w:hAnsi="Segoe UI Symbol"/>
          <w:lang w:val="en-GB" w:eastAsia="ko-KR"/>
        </w:rPr>
      </w:pPr>
      <w:r>
        <w:rPr>
          <w:rStyle w:val="CommentReference"/>
        </w:rPr>
        <w:annotationRef/>
      </w:r>
      <w:r w:rsidRPr="00FF0CBE">
        <w:rPr>
          <w:rFonts w:ascii="Segoe UI Symbol" w:eastAsia="Malgun Gothic" w:hAnsi="Segoe UI Symbol" w:hint="eastAsia"/>
          <w:lang w:val="en-GB" w:eastAsia="ko-KR"/>
        </w:rPr>
        <w:t xml:space="preserve">Stock Coordinators </w:t>
      </w:r>
      <w:r w:rsidRPr="00FF0CBE">
        <w:rPr>
          <w:rFonts w:ascii="Segoe UI Symbol" w:eastAsia="Malgun Gothic" w:hAnsi="Segoe UI Symbol"/>
          <w:lang w:val="en-GB" w:eastAsia="ko-KR"/>
        </w:rPr>
        <w:t>–</w:t>
      </w:r>
      <w:r w:rsidRPr="00FF0CBE">
        <w:rPr>
          <w:rFonts w:ascii="Segoe UI Symbol" w:eastAsia="Malgun Gothic" w:hAnsi="Segoe UI Symbol" w:hint="eastAsia"/>
          <w:lang w:val="en-GB" w:eastAsia="ko-KR"/>
        </w:rPr>
        <w:t xml:space="preserve"> </w:t>
      </w:r>
      <w:r>
        <w:rPr>
          <w:rFonts w:ascii="Segoe UI Symbol" w:eastAsia="Malgun Gothic" w:hAnsi="Segoe UI Symbol"/>
          <w:lang w:val="en-GB" w:eastAsia="ko-KR"/>
        </w:rPr>
        <w:t>a</w:t>
      </w:r>
      <w:r w:rsidRPr="00FF0CBE">
        <w:rPr>
          <w:rFonts w:ascii="Segoe UI Symbol" w:eastAsia="Malgun Gothic" w:hAnsi="Segoe UI Symbol" w:hint="eastAsia"/>
          <w:lang w:val="en-GB" w:eastAsia="ko-KR"/>
        </w:rPr>
        <w:t xml:space="preserve">dd </w:t>
      </w:r>
      <w:r w:rsidRPr="00FF0CBE">
        <w:rPr>
          <w:rFonts w:ascii="Segoe UI Symbol" w:eastAsia="Malgun Gothic" w:hAnsi="Segoe UI Symbol"/>
          <w:lang w:val="en-GB" w:eastAsia="ko-KR"/>
        </w:rPr>
        <w:t>the relevant information to this table</w:t>
      </w:r>
    </w:p>
  </w:comment>
  <w:comment w:id="19" w:author="Scott Large" w:date="2017-01-06T10:20:00Z" w:initials="SL">
    <w:p w14:paraId="50FE1910" w14:textId="77777777" w:rsidR="002F779C" w:rsidRPr="002F779C" w:rsidRDefault="002F779C" w:rsidP="002F779C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2F779C">
        <w:rPr>
          <w:lang w:val="en-GB"/>
        </w:rPr>
        <w:t xml:space="preserve">Stock Coordinators – add </w:t>
      </w:r>
      <w:r>
        <w:rPr>
          <w:lang w:val="en-GB"/>
        </w:rPr>
        <w:t>the standard table.</w:t>
      </w:r>
      <w:r w:rsidRPr="002F779C">
        <w:rPr>
          <w:lang w:val="en-GB"/>
        </w:rPr>
        <w:t xml:space="preserve"> </w:t>
      </w:r>
    </w:p>
  </w:comment>
  <w:comment w:id="21" w:author="Scott Large" w:date="2017-01-06T10:20:00Z" w:initials="SL">
    <w:p w14:paraId="73B1E891" w14:textId="36803648" w:rsidR="002F779C" w:rsidRPr="002F779C" w:rsidRDefault="002F779C" w:rsidP="002F779C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2F779C">
        <w:rPr>
          <w:lang w:val="en-GB"/>
        </w:rPr>
        <w:t xml:space="preserve">Stock Coordinators – add </w:t>
      </w:r>
      <w:r>
        <w:rPr>
          <w:lang w:val="en-GB"/>
        </w:rPr>
        <w:t>the standard table</w:t>
      </w:r>
      <w:r w:rsidR="00487EDD">
        <w:rPr>
          <w:lang w:val="en-GB"/>
        </w:rPr>
        <w:t xml:space="preserve"> from Stock Assessment Graphs</w:t>
      </w:r>
      <w:r w:rsidRPr="002F779C">
        <w:rPr>
          <w:lang w:val="en-GB"/>
        </w:rPr>
        <w:t xml:space="preserve"> </w:t>
      </w:r>
    </w:p>
  </w:comment>
</w:comments>
</file>

<file path=word/commentsExtended.xml><?xml version="1.0" encoding="utf-8"?>
<w15:commentsEx xmlns:w15="http://schemas.microsoft.com/office/word/2012/wordml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15:commentEx w15:done="0" w15:paraId="7DC0DCC1"/>
  <w15:commentEx w15:done="0" w15:paraId="718A9FDE"/>
  <w15:commentEx w15:done="0" w15:paraId="6133EBBE"/>
  <w15:commentEx w15:done="0" w15:paraId="786BBF91"/>
  <w15:commentEx w15:done="0" w15:paraId="7E07A324"/>
  <w15:commentEx w15:done="0" w15:paraId="3A509010"/>
  <w15:commentEx w15:done="0" w15:paraId="50FE1910"/>
  <w15:commentEx w15:done="0" w15:paraId="73B1E891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1AFD84" w14:textId="77777777" w:rsidR="006D6F7E" w:rsidRDefault="006D6F7E" w:rsidP="008E07C5">
      <w:pPr>
        <w:spacing w:after="0" w:line="240" w:lineRule="auto"/>
      </w:pPr>
      <w:r>
        <w:separator/>
      </w:r>
    </w:p>
  </w:endnote>
  <w:endnote w:type="continuationSeparator" w:id="0">
    <w:p w14:paraId="759714DE" w14:textId="77777777" w:rsidR="006D6F7E" w:rsidRDefault="006D6F7E" w:rsidP="008E0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  <w:sz w:val="18"/>
        <w:szCs w:val="18"/>
      </w:rPr>
      <w:id w:val="-1434737310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05BB437B" w14:textId="5F2716B9" w:rsidR="008477BE" w:rsidRPr="0004401D" w:rsidRDefault="008477BE" w:rsidP="006E17B6">
        <w:pPr>
          <w:pStyle w:val="Footer"/>
          <w:tabs>
            <w:tab w:val="clear" w:pos="9972"/>
            <w:tab w:val="right" w:pos="10206"/>
          </w:tabs>
          <w:rPr>
            <w:rFonts w:cs="Times New Roman"/>
            <w:i/>
            <w:sz w:val="18"/>
            <w:szCs w:val="18"/>
          </w:rPr>
        </w:pPr>
        <w:r>
          <w:fldChar w:fldCharType="begin"/>
        </w:r>
        <w:r w:rsidRPr="0032698F">
          <w:instrText xml:space="preserve"> PAGE   \* MERGEFORMAT </w:instrText>
        </w:r>
        <w:r>
          <w:fldChar w:fldCharType="separate"/>
        </w:r>
        <w:r w:rsidR="00CF7E0A" w:rsidRPr="00CF7E0A">
          <w:rPr>
            <w:rFonts w:cs="Times New Roman"/>
            <w:noProof/>
            <w:sz w:val="18"/>
            <w:szCs w:val="18"/>
          </w:rPr>
          <w:t>2</w:t>
        </w:r>
        <w:r>
          <w:rPr>
            <w:rFonts w:cs="Times New Roman"/>
            <w:noProof/>
            <w:sz w:val="18"/>
            <w:szCs w:val="18"/>
          </w:rPr>
          <w:fldChar w:fldCharType="end"/>
        </w:r>
        <w:r w:rsidRPr="0004401D">
          <w:rPr>
            <w:rFonts w:cs="Times New Roman"/>
            <w:i/>
            <w:noProof/>
            <w:sz w:val="18"/>
            <w:szCs w:val="18"/>
          </w:rPr>
          <w:tab/>
        </w:r>
        <w:r w:rsidRPr="0004401D">
          <w:rPr>
            <w:rFonts w:cs="Times New Roman"/>
            <w:i/>
            <w:noProof/>
            <w:sz w:val="18"/>
            <w:szCs w:val="18"/>
          </w:rPr>
          <w:tab/>
          <w:t>ICES Advice 201</w:t>
        </w:r>
        <w:r>
          <w:rPr>
            <w:rFonts w:cs="Times New Roman"/>
            <w:i/>
            <w:noProof/>
            <w:sz w:val="18"/>
            <w:szCs w:val="18"/>
          </w:rPr>
          <w:t>6</w:t>
        </w:r>
        <w:r w:rsidRPr="0004401D">
          <w:rPr>
            <w:rFonts w:cs="Times New Roman"/>
            <w:i/>
            <w:noProof/>
            <w:sz w:val="18"/>
            <w:szCs w:val="18"/>
          </w:rPr>
          <w:t xml:space="preserve">, Book </w:t>
        </w:r>
        <w:r>
          <w:rPr>
            <w:rFonts w:cs="Times New Roman"/>
            <w:i/>
            <w:noProof/>
            <w:sz w:val="18"/>
            <w:szCs w:val="18"/>
          </w:rPr>
          <w:t>6</w:t>
        </w:r>
      </w:p>
    </w:sdtContent>
  </w:sdt>
  <w:p w14:paraId="5750BF00" w14:textId="77777777" w:rsidR="00000000" w:rsidRDefault="006D6F7E"/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Bdr/>
      <w:spacing w:before="20" w:after="20"/>
      <w:ind w:left="20" w:right="20"/>
      <w:jc w:val="both"/>
    </w:pPr>
    <w:bookmarkStart w:name="BOOK_FOOTER2" w:id="23"/>
    <w:r/>
    <w:bookmarkEnd w:id="23"/>
    <w:r>
      <w:rPr>
        <w:rFonts w:ascii="Calibri" w:hAnsi="Calibri" w:cs="Calibri"/>
        <w:i w:val="true"/>
        <w:color w:val="000000"/>
        <w:sz w:val="18"/>
      </w:rPr>
      <w:t xml:space="preserve">ICES Advice 2017</w:t>
    </w:r>
    <w:r>
      <w:rPr>
        <w:rFonts w:ascii="Calibri" w:hAnsi="Calibri" w:cs="Calibri"/>
        <w:i w:val="true"/>
        <w:color w:val="000000"/>
        <w:sz w:val="18"/>
      </w:rPr>
      <w:t xml:space="preserve">, Book </w:t>
    </w:r>
    <w:r>
      <w:rPr>
        <w:rFonts w:ascii="Calibri" w:hAnsi="Calibri" w:cs="Calibri"/>
        <w:i w:val="true"/>
        <w:color w:val="000000"/>
        <w:sz w:val="18"/>
      </w:rPr>
      <w:t xml:space="preserve">9</w:t>
    </w:r>
  </w:p>
  <w:p w:rsidRPr="002F0044" w:rsidR="008477BE" w:rsidP="006E17B6" w:rsidRDefault="008477BE" w14:paraId="150C7056" w14:textId="2D44715D">
    <w:pPr>
      <w:pStyle w:val="Footer"/>
      <w:tabs>
        <w:tab w:val="clear" w:pos="9972"/>
        <w:tab w:val="right" w:pos="10206"/>
      </w:tabs>
      <w:jc w:val="right"/>
      <w:rPr>
        <w:rFonts w:cs="Times New Roman"/>
        <w:sz w:val="18"/>
        <w:szCs w:val="18"/>
      </w:rPr>
    </w:pPr>
    <w:r w:rsidRPr="002F0044">
      <w:rPr>
        <w:rFonts w:cs="Times New Roman"/>
        <w:sz w:val="18"/>
        <w:szCs w:val="18"/>
      </w:rPr>
      <w:tab/>
    </w:r>
    <w:r w:rsidRPr="002F0044">
      <w:rPr>
        <w:rFonts w:cs="Times New Roman"/>
        <w:sz w:val="18"/>
        <w:szCs w:val="18"/>
      </w:rPr>
      <w:tab/>
    </w:r>
    <w:sdt>
      <w:sdtPr>
        <w:rPr>
          <w:rFonts w:cs="Times New Roman"/>
          <w:sz w:val="18"/>
          <w:szCs w:val="18"/>
        </w:rPr>
        <w:id w:val="-51685243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 w:rsidRPr="00CF7E0A">
          <w:instrText xml:space="preserve"> PAGE   \* MERGEFORMAT </w:instrText>
        </w:r>
        <w:r>
          <w:fldChar w:fldCharType="separate"/>
        </w:r>
        <w:r w:rsidRPr="00D10291" w:rsidR="00D10291">
          <w:rPr>
            <w:rFonts w:cs="Times New Roman"/>
            <w:noProof/>
            <w:sz w:val="18"/>
            <w:szCs w:val="18"/>
          </w:rPr>
          <w:t>3</w:t>
        </w:r>
        <w:r>
          <w:rPr>
            <w:rFonts w:cs="Times New Roman"/>
            <w:noProof/>
            <w:sz w:val="18"/>
            <w:szCs w:val="18"/>
          </w:rPr>
          <w:fldChar w:fldCharType="end"/>
        </w:r>
      </w:sdtContent>
    </w:sdt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Bdr/>
      <w:spacing w:before="20" w:after="20"/>
      <w:ind w:left="20" w:right="20"/>
      <w:jc w:val="both"/>
    </w:pPr>
    <w:bookmarkStart w:name="BOOK_FOOTER" w:id="25"/>
    <w:r/>
    <w:bookmarkEnd w:id="25"/>
    <w:r>
      <w:rPr>
        <w:rFonts w:ascii="Calibri" w:hAnsi="Calibri" w:cs="Calibri"/>
        <w:i w:val="true"/>
        <w:color w:val="000000"/>
        <w:sz w:val="18"/>
      </w:rPr>
      <w:t xml:space="preserve">ICES Advice 2017</w:t>
    </w:r>
    <w:r>
      <w:rPr>
        <w:rFonts w:ascii="Calibri" w:hAnsi="Calibri" w:cs="Calibri"/>
        <w:i w:val="true"/>
        <w:color w:val="000000"/>
        <w:sz w:val="18"/>
      </w:rPr>
      <w:t xml:space="preserve">, Book </w:t>
    </w:r>
    <w:r>
      <w:rPr>
        <w:rFonts w:ascii="Calibri" w:hAnsi="Calibri" w:cs="Calibri"/>
        <w:i w:val="true"/>
        <w:color w:val="000000"/>
        <w:sz w:val="18"/>
      </w:rPr>
      <w:t xml:space="preserve">9</w:t>
    </w:r>
  </w:p>
  <w:p w:rsidRPr="00762EFD" w:rsidR="00CF7E0A" w:rsidP="006E17B6" w:rsidRDefault="0032698F" w14:paraId="25478B28" w14:textId="5FE91A08">
    <w:pPr>
      <w:pStyle w:val="Footer"/>
      <w:tabs>
        <w:tab w:val="clear" w:pos="9972"/>
        <w:tab w:val="right" w:pos="10206"/>
      </w:tabs>
      <w:jc w:val="right"/>
      <w:rPr>
        <w:rFonts w:cs="Times New Roman"/>
        <w:noProof/>
        <w:sz w:val="18"/>
        <w:szCs w:val="18"/>
      </w:rPr>
    </w:pPr>
    <w:bookmarkStart w:name="_GoBack" w:id="26"/>
    <w:bookmarkEnd w:id="26"/>
    <w:r>
      <w:rPr>
        <w:rFonts w:cs="Times New Roman"/>
        <w:noProof/>
        <w:sz w:val="18"/>
        <w:szCs w:val="18"/>
      </w:rPr>
      <w:tab/>
    </w:r>
    <w:r>
      <w:rPr>
        <w:rFonts w:cs="Times New Roman"/>
        <w:noProof/>
        <w:sz w:val="18"/>
        <w:szCs w:val="18"/>
      </w:rPr>
      <w:tab/>
    </w:r>
    <w:r w:rsidRPr="00762EFD">
      <w:rPr>
        <w:rFonts w:cs="Times New Roman"/>
        <w:noProof/>
        <w:sz w:val="18"/>
        <w:szCs w:val="18"/>
      </w:rPr>
      <w:fldChar w:fldCharType="begin"/>
    </w:r>
    <w:r w:rsidRPr="0032698F">
      <w:rPr>
        <w:rFonts w:cs="Times New Roman"/>
        <w:noProof/>
        <w:sz w:val="18"/>
        <w:szCs w:val="18"/>
      </w:rPr>
      <w:instrText xml:space="preserve"> PAGE   \* MERGEFORMAT </w:instrText>
    </w:r>
    <w:r w:rsidRPr="00762EFD">
      <w:rPr>
        <w:rFonts w:cs="Times New Roman"/>
        <w:noProof/>
        <w:sz w:val="18"/>
        <w:szCs w:val="18"/>
      </w:rPr>
      <w:fldChar w:fldCharType="separate"/>
    </w:r>
    <w:r w:rsidR="00D10291">
      <w:rPr>
        <w:rFonts w:cs="Times New Roman"/>
        <w:noProof/>
        <w:sz w:val="18"/>
        <w:szCs w:val="18"/>
      </w:rPr>
      <w:t>1</w:t>
    </w:r>
    <w:r w:rsidRPr="00762EFD">
      <w:rPr>
        <w:rFonts w:cs="Times New Roman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A4FA93" w14:textId="77777777" w:rsidR="006D6F7E" w:rsidRDefault="006D6F7E" w:rsidP="008E07C5">
      <w:pPr>
        <w:spacing w:after="0" w:line="240" w:lineRule="auto"/>
      </w:pPr>
      <w:r>
        <w:separator/>
      </w:r>
    </w:p>
  </w:footnote>
  <w:footnote w:type="continuationSeparator" w:id="0">
    <w:p w14:paraId="2301E10F" w14:textId="77777777" w:rsidR="006D6F7E" w:rsidRDefault="006D6F7E" w:rsidP="008E0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3458DA" w14:textId="77777777" w:rsidR="008477BE" w:rsidRPr="002F0044" w:rsidRDefault="008477BE" w:rsidP="006E17B6">
    <w:pPr>
      <w:pStyle w:val="Header"/>
      <w:tabs>
        <w:tab w:val="clear" w:pos="9972"/>
        <w:tab w:val="right" w:pos="10206"/>
      </w:tabs>
      <w:rPr>
        <w:rFonts w:cs="Times New Roman"/>
        <w:i/>
        <w:sz w:val="18"/>
        <w:szCs w:val="18"/>
        <w:lang w:val="en-US"/>
      </w:rPr>
    </w:pPr>
    <w:r w:rsidRPr="001917E9">
      <w:rPr>
        <w:rFonts w:cs="Times New Roman"/>
        <w:i/>
        <w:sz w:val="18"/>
        <w:szCs w:val="18"/>
        <w:lang w:val="en-US"/>
      </w:rPr>
      <w:t xml:space="preserve">Published </w:t>
    </w:r>
    <w:r w:rsidRPr="00C1554F">
      <w:rPr>
        <w:rFonts w:cs="Times New Roman"/>
        <w:i/>
        <w:sz w:val="18"/>
        <w:szCs w:val="18"/>
        <w:lang w:val="en-US"/>
      </w:rPr>
      <w:t>30 June</w:t>
    </w:r>
    <w:r>
      <w:rPr>
        <w:rFonts w:cs="Times New Roman"/>
        <w:i/>
        <w:sz w:val="18"/>
        <w:szCs w:val="18"/>
        <w:lang w:val="en-US"/>
      </w:rPr>
      <w:t xml:space="preserve"> 2016</w:t>
    </w:r>
    <w:r w:rsidRPr="002F0044">
      <w:rPr>
        <w:rFonts w:cs="Times New Roman"/>
        <w:i/>
        <w:sz w:val="18"/>
        <w:szCs w:val="18"/>
        <w:lang w:val="en-US"/>
      </w:rPr>
      <w:tab/>
    </w:r>
    <w:r>
      <w:rPr>
        <w:rFonts w:cs="Times New Roman"/>
        <w:i/>
        <w:sz w:val="18"/>
        <w:szCs w:val="18"/>
        <w:lang w:val="en-US"/>
      </w:rPr>
      <w:tab/>
      <w:t xml:space="preserve">ICES </w:t>
    </w:r>
    <w:r w:rsidRPr="002F0044">
      <w:rPr>
        <w:rFonts w:cs="Times New Roman"/>
        <w:i/>
        <w:sz w:val="18"/>
        <w:szCs w:val="18"/>
        <w:lang w:val="en-US"/>
      </w:rPr>
      <w:t>Advice on fishing opportunities, catch</w:t>
    </w:r>
    <w:r>
      <w:rPr>
        <w:rFonts w:cs="Times New Roman"/>
        <w:i/>
        <w:sz w:val="18"/>
        <w:szCs w:val="18"/>
        <w:lang w:val="en-US"/>
      </w:rPr>
      <w:t>,</w:t>
    </w:r>
    <w:r w:rsidRPr="002F0044">
      <w:rPr>
        <w:rFonts w:cs="Times New Roman"/>
        <w:i/>
        <w:sz w:val="18"/>
        <w:szCs w:val="18"/>
        <w:lang w:val="en-US"/>
      </w:rPr>
      <w:t xml:space="preserve"> and effort</w:t>
    </w: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Bdr/>
      <w:spacing w:before="20" w:after="20"/>
      <w:ind w:left="20" w:right="20"/>
      <w:jc w:val="both"/>
    </w:pPr>
    <w:bookmarkStart w:name="SECOND_HEADER" w:id="22"/>
    <w:r/>
    <w:bookmarkEnd w:id="22"/>
    <w:r>
      <w:rPr>
        <w:rFonts w:ascii="Calibri" w:hAnsi="Calibri" w:cs="Calibri"/>
        <w:i w:val="true"/>
        <w:color w:val="000000"/>
        <w:sz w:val="18"/>
      </w:rPr>
      <w:t xml:space="preserve">ICES Advice on fishing opportunities, catch, and effort		</w:t>
    </w:r>
    <w:r>
      <w:rPr>
        <w:rFonts w:ascii="Calibri" w:hAnsi="Calibri" w:cs="Calibri"/>
        <w:i w:val="true"/>
        <w:color w:val="000000"/>
        <w:sz w:val="18"/>
      </w:rPr>
      <w:t xml:space="preserve">Published 30 June 2017</w:t>
    </w:r>
  </w:p>
</w:hdr>
</file>

<file path=word/header3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04401D" w:rsidR="001362E0" w:rsidP="002674A2" w:rsidRDefault="001362E0">
    <w:pPr>
      <w:pStyle w:val="AdviceHeader"/>
    </w:pPr>
    <w:r>
      <w:rPr>
        <w:noProof/>
        <w:lang w:val="en-GB" w:eastAsia="en-GB"/>
      </w:rPr>
      <w:drawing>
        <wp:anchor distT="0" distB="0" distL="114300" distR="114300" simplePos="false" relativeHeight="251659264" behindDoc="false" locked="false" layoutInCell="true" allowOverlap="true">
          <wp:simplePos x="0" y="0"/>
          <wp:positionH relativeFrom="margin">
            <wp:align>right</wp:align>
          </wp:positionH>
          <wp:positionV relativeFrom="paragraph">
            <wp:posOffset>-232410</wp:posOffset>
          </wp:positionV>
          <wp:extent cx="803275" cy="335080"/>
          <wp:effectExtent l="0" t="0" r="0" b="8255"/>
          <wp:wrapNone/>
          <wp:docPr id="3" name="Picture 3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9" name="ICES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275" cy="335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4401D">
      <w:t>ICES Advice on fishing opportunities, catch</w:t>
    </w:r>
    <w:r>
      <w:t>,</w:t>
    </w:r>
    <w:r w:rsidRPr="0004401D">
      <w:t xml:space="preserve"> and effort</w:t>
    </w:r>
  </w:p>
  <w:p>
    <w:pPr>
      <w:pBdr/>
      <w:spacing w:before="20" w:after="20"/>
      <w:ind w:left="20" w:right="20"/>
      <w:jc w:val="left"/>
    </w:pPr>
    <w:bookmarkStart w:name="ECOREGION_HEADER" w:id="24"/>
    <w:r/>
    <w:bookmarkEnd w:id="24"/>
    <w:r>
      <w:rPr>
        <w:rFonts w:ascii="Calibri" w:hAnsi="Calibri" w:cs="Calibri"/>
        <w:i w:val="true"/>
        <w:color w:val="000000"/>
        <w:sz w:val="18"/>
      </w:rPr>
      <w:t xml:space="preserve">Celtic Seas, Faroes and Greater North Sea Ecoregions		Published 30 June 2017</w:t>
    </w:r>
  </w:p>
  <w:p w:rsidRPr="00936B6E" w:rsidR="008477BE" w:rsidP="001362E0" w:rsidRDefault="008477BE">
    <w:pPr>
      <w:pStyle w:val="Header"/>
      <w:rPr>
        <w:sz w:val="20"/>
        <w:szCs w:val="20"/>
        <w:lang w:val="en-US"/>
      </w:rPr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1">
    <w:nsid w:val="3"/>
    <w:multiLevelType w:val="hybridMultilevel"/>
    <w:tmpl w:val="4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2">
    <w:nsid w:val="5"/>
    <w:multiLevelType w:val="hybridMultilevel"/>
    <w:tmpl w:val="6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people.xml><?xml version="1.0" encoding="utf-8"?>
<w15:people xmlns:w15="http://schemas.microsoft.com/office/word/2012/wordml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15:person w15:author="Scott Large">
    <w15:presenceInfo w15:providerId="AD" w15:userId="S-1-5-21-1123561945-1035525444-1801674531-15855"/>
  </w15:person>
</w15:people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70"/>
  <w:hideSpellingErrors/>
  <w:hideGrammaticalErrors/>
  <w:activeWritingStyle w:lang="da-DK" w:vendorID="64" w:dllVersion="0" w:nlCheck="true" w:checkStyle="false" w:appName="MSWord"/>
  <w:activeWritingStyle w:lang="en-US" w:vendorID="64" w:dllVersion="0" w:nlCheck="true" w:checkStyle="false" w:appName="MSWord"/>
  <w:activeWritingStyle w:lang="en-GB" w:vendorID="64" w:dllVersion="0" w:nlCheck="true" w:checkStyle="false" w:appName="MSWord"/>
  <w:activeWritingStyle w:lang="en-AU" w:vendorID="64" w:dllVersion="0" w:nlCheck="true" w:checkStyle="true" w:appName="MSWord"/>
  <w:activeWritingStyle w:lang="en-GB" w:vendorID="64" w:dllVersion="131078" w:nlCheck="true" w:checkStyle="true" w:appName="MSWord"/>
  <w:activeWritingStyle w:lang="en-US" w:vendorID="64" w:dllVersion="131078" w:nlCheck="true" w:checkStyle="true" w:appName="MSWord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7C5"/>
    <w:rsid w:val="0000298F"/>
    <w:rsid w:val="00004B88"/>
    <w:rsid w:val="000153A1"/>
    <w:rsid w:val="00030FFC"/>
    <w:rsid w:val="00034B79"/>
    <w:rsid w:val="00035041"/>
    <w:rsid w:val="00036561"/>
    <w:rsid w:val="0004105C"/>
    <w:rsid w:val="000427ED"/>
    <w:rsid w:val="00043777"/>
    <w:rsid w:val="0004401D"/>
    <w:rsid w:val="000543C7"/>
    <w:rsid w:val="000630DA"/>
    <w:rsid w:val="00067BB5"/>
    <w:rsid w:val="000702C8"/>
    <w:rsid w:val="00072C10"/>
    <w:rsid w:val="0007607D"/>
    <w:rsid w:val="00086021"/>
    <w:rsid w:val="00097A48"/>
    <w:rsid w:val="000B358C"/>
    <w:rsid w:val="000B715E"/>
    <w:rsid w:val="000D457C"/>
    <w:rsid w:val="000D5F19"/>
    <w:rsid w:val="000D6612"/>
    <w:rsid w:val="000F0ADE"/>
    <w:rsid w:val="001008EA"/>
    <w:rsid w:val="0010169C"/>
    <w:rsid w:val="00105591"/>
    <w:rsid w:val="001112B3"/>
    <w:rsid w:val="001113A6"/>
    <w:rsid w:val="001146D2"/>
    <w:rsid w:val="00115A2D"/>
    <w:rsid w:val="0012786A"/>
    <w:rsid w:val="001362E0"/>
    <w:rsid w:val="00141408"/>
    <w:rsid w:val="00143D47"/>
    <w:rsid w:val="00146D1E"/>
    <w:rsid w:val="0014731D"/>
    <w:rsid w:val="001474BD"/>
    <w:rsid w:val="00153675"/>
    <w:rsid w:val="001614FC"/>
    <w:rsid w:val="00165712"/>
    <w:rsid w:val="001704DB"/>
    <w:rsid w:val="001720C0"/>
    <w:rsid w:val="00184CF3"/>
    <w:rsid w:val="00185EB1"/>
    <w:rsid w:val="00187361"/>
    <w:rsid w:val="001917E9"/>
    <w:rsid w:val="00192A09"/>
    <w:rsid w:val="00195BB5"/>
    <w:rsid w:val="001A1B37"/>
    <w:rsid w:val="001A405D"/>
    <w:rsid w:val="001A4BA1"/>
    <w:rsid w:val="001A54BC"/>
    <w:rsid w:val="001B08AD"/>
    <w:rsid w:val="001C3987"/>
    <w:rsid w:val="001C7824"/>
    <w:rsid w:val="001E0C04"/>
    <w:rsid w:val="001E1618"/>
    <w:rsid w:val="001E3BDB"/>
    <w:rsid w:val="001F7E2B"/>
    <w:rsid w:val="00205C14"/>
    <w:rsid w:val="00205DC1"/>
    <w:rsid w:val="00211FA1"/>
    <w:rsid w:val="0022415F"/>
    <w:rsid w:val="002309A4"/>
    <w:rsid w:val="00245465"/>
    <w:rsid w:val="0024704C"/>
    <w:rsid w:val="00254721"/>
    <w:rsid w:val="00260A85"/>
    <w:rsid w:val="00266658"/>
    <w:rsid w:val="002674A2"/>
    <w:rsid w:val="00270215"/>
    <w:rsid w:val="00276CD2"/>
    <w:rsid w:val="00277B00"/>
    <w:rsid w:val="00277E09"/>
    <w:rsid w:val="0028161A"/>
    <w:rsid w:val="00282968"/>
    <w:rsid w:val="002833A8"/>
    <w:rsid w:val="0029036B"/>
    <w:rsid w:val="002907DA"/>
    <w:rsid w:val="002A5BB9"/>
    <w:rsid w:val="002B5700"/>
    <w:rsid w:val="002B618F"/>
    <w:rsid w:val="002B6961"/>
    <w:rsid w:val="002C1350"/>
    <w:rsid w:val="002C76B5"/>
    <w:rsid w:val="002D334C"/>
    <w:rsid w:val="002D6587"/>
    <w:rsid w:val="002E0B98"/>
    <w:rsid w:val="002E52D5"/>
    <w:rsid w:val="002F0044"/>
    <w:rsid w:val="002F12B9"/>
    <w:rsid w:val="002F3337"/>
    <w:rsid w:val="002F779C"/>
    <w:rsid w:val="00301740"/>
    <w:rsid w:val="00301FB8"/>
    <w:rsid w:val="003068EF"/>
    <w:rsid w:val="00317E37"/>
    <w:rsid w:val="0032239D"/>
    <w:rsid w:val="003241F1"/>
    <w:rsid w:val="0032429A"/>
    <w:rsid w:val="0032698F"/>
    <w:rsid w:val="003278F4"/>
    <w:rsid w:val="003324DD"/>
    <w:rsid w:val="00333064"/>
    <w:rsid w:val="00343C99"/>
    <w:rsid w:val="00351E42"/>
    <w:rsid w:val="00356708"/>
    <w:rsid w:val="00360012"/>
    <w:rsid w:val="003608B8"/>
    <w:rsid w:val="003620D8"/>
    <w:rsid w:val="00362A1F"/>
    <w:rsid w:val="003635F0"/>
    <w:rsid w:val="0036376F"/>
    <w:rsid w:val="0037287D"/>
    <w:rsid w:val="003756E2"/>
    <w:rsid w:val="00385753"/>
    <w:rsid w:val="00390C43"/>
    <w:rsid w:val="003A514C"/>
    <w:rsid w:val="003B578D"/>
    <w:rsid w:val="003C0E84"/>
    <w:rsid w:val="003C1C45"/>
    <w:rsid w:val="003C3DE7"/>
    <w:rsid w:val="003D2A89"/>
    <w:rsid w:val="003E0ED3"/>
    <w:rsid w:val="003E1B3C"/>
    <w:rsid w:val="003E492D"/>
    <w:rsid w:val="003E7262"/>
    <w:rsid w:val="003F2001"/>
    <w:rsid w:val="003F24A6"/>
    <w:rsid w:val="003F79DA"/>
    <w:rsid w:val="00400883"/>
    <w:rsid w:val="00404ACA"/>
    <w:rsid w:val="004070FC"/>
    <w:rsid w:val="00423767"/>
    <w:rsid w:val="00427F83"/>
    <w:rsid w:val="00430B87"/>
    <w:rsid w:val="0043117E"/>
    <w:rsid w:val="0043191D"/>
    <w:rsid w:val="004431BD"/>
    <w:rsid w:val="00447863"/>
    <w:rsid w:val="004535E7"/>
    <w:rsid w:val="0045423D"/>
    <w:rsid w:val="0045627E"/>
    <w:rsid w:val="00456865"/>
    <w:rsid w:val="004621A7"/>
    <w:rsid w:val="004723CA"/>
    <w:rsid w:val="00483585"/>
    <w:rsid w:val="00485A8A"/>
    <w:rsid w:val="00487EDD"/>
    <w:rsid w:val="00491E22"/>
    <w:rsid w:val="004A04E8"/>
    <w:rsid w:val="004A1848"/>
    <w:rsid w:val="004A1B4D"/>
    <w:rsid w:val="004B5797"/>
    <w:rsid w:val="004B7587"/>
    <w:rsid w:val="004C1642"/>
    <w:rsid w:val="004C29F6"/>
    <w:rsid w:val="004C2BE7"/>
    <w:rsid w:val="004D0401"/>
    <w:rsid w:val="004D211C"/>
    <w:rsid w:val="004D4800"/>
    <w:rsid w:val="004D59C2"/>
    <w:rsid w:val="004D5DAE"/>
    <w:rsid w:val="004D660A"/>
    <w:rsid w:val="004E62C5"/>
    <w:rsid w:val="004E6453"/>
    <w:rsid w:val="004E6D12"/>
    <w:rsid w:val="004F0CB0"/>
    <w:rsid w:val="004F1248"/>
    <w:rsid w:val="005001A6"/>
    <w:rsid w:val="00510BE3"/>
    <w:rsid w:val="00524176"/>
    <w:rsid w:val="0053261E"/>
    <w:rsid w:val="00540146"/>
    <w:rsid w:val="00547B50"/>
    <w:rsid w:val="00557585"/>
    <w:rsid w:val="005577CD"/>
    <w:rsid w:val="00562778"/>
    <w:rsid w:val="0056453A"/>
    <w:rsid w:val="00565E17"/>
    <w:rsid w:val="00583B93"/>
    <w:rsid w:val="0059128E"/>
    <w:rsid w:val="005A5C14"/>
    <w:rsid w:val="005A7F72"/>
    <w:rsid w:val="005B1D87"/>
    <w:rsid w:val="005B32CB"/>
    <w:rsid w:val="005B3B66"/>
    <w:rsid w:val="005B4E79"/>
    <w:rsid w:val="005B6B11"/>
    <w:rsid w:val="005C0451"/>
    <w:rsid w:val="005C3A93"/>
    <w:rsid w:val="005E1361"/>
    <w:rsid w:val="005E7665"/>
    <w:rsid w:val="005F5CB0"/>
    <w:rsid w:val="005F7B58"/>
    <w:rsid w:val="0061672A"/>
    <w:rsid w:val="00621779"/>
    <w:rsid w:val="00630074"/>
    <w:rsid w:val="00632161"/>
    <w:rsid w:val="006410E3"/>
    <w:rsid w:val="00643AEB"/>
    <w:rsid w:val="00646EBD"/>
    <w:rsid w:val="00666ECC"/>
    <w:rsid w:val="00676200"/>
    <w:rsid w:val="006811E4"/>
    <w:rsid w:val="00686956"/>
    <w:rsid w:val="006948DD"/>
    <w:rsid w:val="006A2DA9"/>
    <w:rsid w:val="006A4DA0"/>
    <w:rsid w:val="006A4DF7"/>
    <w:rsid w:val="006B2545"/>
    <w:rsid w:val="006B30D6"/>
    <w:rsid w:val="006C247B"/>
    <w:rsid w:val="006C4592"/>
    <w:rsid w:val="006C7A55"/>
    <w:rsid w:val="006D0963"/>
    <w:rsid w:val="006D1A24"/>
    <w:rsid w:val="006D23FD"/>
    <w:rsid w:val="006D63D4"/>
    <w:rsid w:val="006D6F7E"/>
    <w:rsid w:val="006D72AE"/>
    <w:rsid w:val="006E17B6"/>
    <w:rsid w:val="006E44F9"/>
    <w:rsid w:val="006E727C"/>
    <w:rsid w:val="00710529"/>
    <w:rsid w:val="007121EF"/>
    <w:rsid w:val="007122CA"/>
    <w:rsid w:val="00715F65"/>
    <w:rsid w:val="00740A19"/>
    <w:rsid w:val="00742D29"/>
    <w:rsid w:val="00751DEC"/>
    <w:rsid w:val="007578EA"/>
    <w:rsid w:val="00761B23"/>
    <w:rsid w:val="007620FE"/>
    <w:rsid w:val="00762EFD"/>
    <w:rsid w:val="007646B0"/>
    <w:rsid w:val="00765096"/>
    <w:rsid w:val="0077088A"/>
    <w:rsid w:val="007708A2"/>
    <w:rsid w:val="007732B4"/>
    <w:rsid w:val="00775F31"/>
    <w:rsid w:val="00777AB7"/>
    <w:rsid w:val="00777C96"/>
    <w:rsid w:val="00780595"/>
    <w:rsid w:val="007808BC"/>
    <w:rsid w:val="007818E6"/>
    <w:rsid w:val="0078265F"/>
    <w:rsid w:val="00782891"/>
    <w:rsid w:val="007855CA"/>
    <w:rsid w:val="00785B5E"/>
    <w:rsid w:val="007A2046"/>
    <w:rsid w:val="007A42C3"/>
    <w:rsid w:val="007B101B"/>
    <w:rsid w:val="007B4C5D"/>
    <w:rsid w:val="007C4440"/>
    <w:rsid w:val="007D6A00"/>
    <w:rsid w:val="007E1719"/>
    <w:rsid w:val="007E49D0"/>
    <w:rsid w:val="007E5934"/>
    <w:rsid w:val="00801467"/>
    <w:rsid w:val="00806BDE"/>
    <w:rsid w:val="008100B2"/>
    <w:rsid w:val="0082107F"/>
    <w:rsid w:val="0082218B"/>
    <w:rsid w:val="00830055"/>
    <w:rsid w:val="00830FF5"/>
    <w:rsid w:val="00831454"/>
    <w:rsid w:val="008340F0"/>
    <w:rsid w:val="00846EDE"/>
    <w:rsid w:val="008477BE"/>
    <w:rsid w:val="00855E88"/>
    <w:rsid w:val="00862A5F"/>
    <w:rsid w:val="00862B3F"/>
    <w:rsid w:val="008633BE"/>
    <w:rsid w:val="0086575E"/>
    <w:rsid w:val="00865883"/>
    <w:rsid w:val="00867592"/>
    <w:rsid w:val="008814DC"/>
    <w:rsid w:val="008933BD"/>
    <w:rsid w:val="008A16C2"/>
    <w:rsid w:val="008A26EA"/>
    <w:rsid w:val="008A7110"/>
    <w:rsid w:val="008B24D1"/>
    <w:rsid w:val="008B76DC"/>
    <w:rsid w:val="008D044E"/>
    <w:rsid w:val="008D11A5"/>
    <w:rsid w:val="008D14D3"/>
    <w:rsid w:val="008E07C5"/>
    <w:rsid w:val="008E6EB5"/>
    <w:rsid w:val="008F280F"/>
    <w:rsid w:val="008F5DEA"/>
    <w:rsid w:val="0090185A"/>
    <w:rsid w:val="0090737D"/>
    <w:rsid w:val="00910046"/>
    <w:rsid w:val="009140F1"/>
    <w:rsid w:val="009155BC"/>
    <w:rsid w:val="009203CD"/>
    <w:rsid w:val="009244E9"/>
    <w:rsid w:val="00927E04"/>
    <w:rsid w:val="009334F9"/>
    <w:rsid w:val="009360DC"/>
    <w:rsid w:val="00936B6E"/>
    <w:rsid w:val="00940EEE"/>
    <w:rsid w:val="00941BB8"/>
    <w:rsid w:val="0094371E"/>
    <w:rsid w:val="00945ABF"/>
    <w:rsid w:val="009528C0"/>
    <w:rsid w:val="009719C4"/>
    <w:rsid w:val="00983794"/>
    <w:rsid w:val="00997A18"/>
    <w:rsid w:val="00997E22"/>
    <w:rsid w:val="009A6875"/>
    <w:rsid w:val="009B0ABB"/>
    <w:rsid w:val="009D240E"/>
    <w:rsid w:val="009D434E"/>
    <w:rsid w:val="009D74FA"/>
    <w:rsid w:val="009D7F4A"/>
    <w:rsid w:val="009E3108"/>
    <w:rsid w:val="009E635C"/>
    <w:rsid w:val="009E6DFF"/>
    <w:rsid w:val="009F057C"/>
    <w:rsid w:val="00A00BBA"/>
    <w:rsid w:val="00A048EE"/>
    <w:rsid w:val="00A113BF"/>
    <w:rsid w:val="00A13127"/>
    <w:rsid w:val="00A32D64"/>
    <w:rsid w:val="00A46AE8"/>
    <w:rsid w:val="00A55A22"/>
    <w:rsid w:val="00A56A25"/>
    <w:rsid w:val="00A60B16"/>
    <w:rsid w:val="00A61E11"/>
    <w:rsid w:val="00A62BD6"/>
    <w:rsid w:val="00A72AB1"/>
    <w:rsid w:val="00A90A24"/>
    <w:rsid w:val="00A91409"/>
    <w:rsid w:val="00A951FA"/>
    <w:rsid w:val="00A9646B"/>
    <w:rsid w:val="00AA2F9D"/>
    <w:rsid w:val="00AA5BAC"/>
    <w:rsid w:val="00AB1BC6"/>
    <w:rsid w:val="00AB5C1E"/>
    <w:rsid w:val="00AC21C1"/>
    <w:rsid w:val="00AC390C"/>
    <w:rsid w:val="00AC3E29"/>
    <w:rsid w:val="00AD5421"/>
    <w:rsid w:val="00AF157E"/>
    <w:rsid w:val="00AF56F3"/>
    <w:rsid w:val="00AF694A"/>
    <w:rsid w:val="00AF706C"/>
    <w:rsid w:val="00B01E7D"/>
    <w:rsid w:val="00B102FD"/>
    <w:rsid w:val="00B133A8"/>
    <w:rsid w:val="00B21A93"/>
    <w:rsid w:val="00B244D6"/>
    <w:rsid w:val="00B41BA1"/>
    <w:rsid w:val="00B437AD"/>
    <w:rsid w:val="00B70D1C"/>
    <w:rsid w:val="00B70EFB"/>
    <w:rsid w:val="00B81369"/>
    <w:rsid w:val="00B81D6E"/>
    <w:rsid w:val="00B8392F"/>
    <w:rsid w:val="00B92548"/>
    <w:rsid w:val="00B97702"/>
    <w:rsid w:val="00BB5DA1"/>
    <w:rsid w:val="00BB66D4"/>
    <w:rsid w:val="00BB6F64"/>
    <w:rsid w:val="00BC331D"/>
    <w:rsid w:val="00BC51AD"/>
    <w:rsid w:val="00BC5EA8"/>
    <w:rsid w:val="00BD0B73"/>
    <w:rsid w:val="00BE2232"/>
    <w:rsid w:val="00BE4344"/>
    <w:rsid w:val="00BF6CDD"/>
    <w:rsid w:val="00C014C8"/>
    <w:rsid w:val="00C01C07"/>
    <w:rsid w:val="00C03594"/>
    <w:rsid w:val="00C12C38"/>
    <w:rsid w:val="00C1554F"/>
    <w:rsid w:val="00C31151"/>
    <w:rsid w:val="00C4039A"/>
    <w:rsid w:val="00C4331F"/>
    <w:rsid w:val="00C4492D"/>
    <w:rsid w:val="00C46F07"/>
    <w:rsid w:val="00C4743D"/>
    <w:rsid w:val="00C504AF"/>
    <w:rsid w:val="00C5192A"/>
    <w:rsid w:val="00C52E75"/>
    <w:rsid w:val="00C53C97"/>
    <w:rsid w:val="00C56BB2"/>
    <w:rsid w:val="00C61BFE"/>
    <w:rsid w:val="00C63A5B"/>
    <w:rsid w:val="00C70C42"/>
    <w:rsid w:val="00C71B8E"/>
    <w:rsid w:val="00C722CC"/>
    <w:rsid w:val="00C737B1"/>
    <w:rsid w:val="00C80595"/>
    <w:rsid w:val="00C84FF4"/>
    <w:rsid w:val="00C86EBD"/>
    <w:rsid w:val="00C93B41"/>
    <w:rsid w:val="00C976FE"/>
    <w:rsid w:val="00CB47EA"/>
    <w:rsid w:val="00CC30C5"/>
    <w:rsid w:val="00CC39CF"/>
    <w:rsid w:val="00CC59BF"/>
    <w:rsid w:val="00CD3224"/>
    <w:rsid w:val="00CE1C4B"/>
    <w:rsid w:val="00CE3616"/>
    <w:rsid w:val="00CF4214"/>
    <w:rsid w:val="00CF7E0A"/>
    <w:rsid w:val="00D00696"/>
    <w:rsid w:val="00D02144"/>
    <w:rsid w:val="00D0245E"/>
    <w:rsid w:val="00D059AB"/>
    <w:rsid w:val="00D10291"/>
    <w:rsid w:val="00D1714F"/>
    <w:rsid w:val="00D21C8D"/>
    <w:rsid w:val="00D306C0"/>
    <w:rsid w:val="00D411E1"/>
    <w:rsid w:val="00D67B4A"/>
    <w:rsid w:val="00D766A5"/>
    <w:rsid w:val="00D866D1"/>
    <w:rsid w:val="00D91CE4"/>
    <w:rsid w:val="00D961BA"/>
    <w:rsid w:val="00DA69A0"/>
    <w:rsid w:val="00DB1BDD"/>
    <w:rsid w:val="00DB3CEA"/>
    <w:rsid w:val="00DC0A6D"/>
    <w:rsid w:val="00DC4F50"/>
    <w:rsid w:val="00DC7C6D"/>
    <w:rsid w:val="00DD6F0A"/>
    <w:rsid w:val="00DE5409"/>
    <w:rsid w:val="00DF6858"/>
    <w:rsid w:val="00DF776E"/>
    <w:rsid w:val="00E0384E"/>
    <w:rsid w:val="00E10FBE"/>
    <w:rsid w:val="00E1367E"/>
    <w:rsid w:val="00E15A60"/>
    <w:rsid w:val="00E169AD"/>
    <w:rsid w:val="00E26EB0"/>
    <w:rsid w:val="00E37644"/>
    <w:rsid w:val="00E41B9C"/>
    <w:rsid w:val="00E44EA7"/>
    <w:rsid w:val="00E5027D"/>
    <w:rsid w:val="00E52D91"/>
    <w:rsid w:val="00E71245"/>
    <w:rsid w:val="00E71446"/>
    <w:rsid w:val="00E74F06"/>
    <w:rsid w:val="00E859FD"/>
    <w:rsid w:val="00E91324"/>
    <w:rsid w:val="00E94763"/>
    <w:rsid w:val="00E95AD0"/>
    <w:rsid w:val="00EA2665"/>
    <w:rsid w:val="00EA5A20"/>
    <w:rsid w:val="00EA5C61"/>
    <w:rsid w:val="00EA600F"/>
    <w:rsid w:val="00EA7B86"/>
    <w:rsid w:val="00EB0E39"/>
    <w:rsid w:val="00EB795C"/>
    <w:rsid w:val="00EB7E06"/>
    <w:rsid w:val="00EC4497"/>
    <w:rsid w:val="00ED41C2"/>
    <w:rsid w:val="00EE0201"/>
    <w:rsid w:val="00EE2CEC"/>
    <w:rsid w:val="00EE774E"/>
    <w:rsid w:val="00EF5E53"/>
    <w:rsid w:val="00F015F7"/>
    <w:rsid w:val="00F03B76"/>
    <w:rsid w:val="00F076FA"/>
    <w:rsid w:val="00F15BB1"/>
    <w:rsid w:val="00F25A08"/>
    <w:rsid w:val="00F27340"/>
    <w:rsid w:val="00F33839"/>
    <w:rsid w:val="00F34A8C"/>
    <w:rsid w:val="00F42F66"/>
    <w:rsid w:val="00F4707A"/>
    <w:rsid w:val="00F525FB"/>
    <w:rsid w:val="00F53DF1"/>
    <w:rsid w:val="00F56549"/>
    <w:rsid w:val="00F731AE"/>
    <w:rsid w:val="00F8050B"/>
    <w:rsid w:val="00F916B5"/>
    <w:rsid w:val="00FA199B"/>
    <w:rsid w:val="00FA337E"/>
    <w:rsid w:val="00FB3471"/>
    <w:rsid w:val="00FC4CB3"/>
    <w:rsid w:val="00FD313D"/>
    <w:rsid w:val="00FD4668"/>
    <w:rsid w:val="00FE278E"/>
    <w:rsid w:val="00FE6B7E"/>
    <w:rsid w:val="00FF0CBE"/>
    <w:rsid w:val="00FF69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,"/>
  <w14:docId w14:val="4836F0EC"/>
  <w15:docId w15:val="{A60D8243-7338-43DB-BA98-EF25466B1FCE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/>
    <w:lsdException w:name="heading 2" w:uiPriority="9" w:semiHidden="true" w:unhideWhenUsed="true"/>
    <w:lsdException w:name="heading 3" w:uiPriority="9" w:semiHidden="true" w:unhideWhenUsed="true"/>
    <w:lsdException w:name="heading 4" w:uiPriority="9" w:semiHidden="true" w:unhideWhenUsed="true"/>
    <w:lsdException w:name="heading 5" w:uiPriority="9" w:semiHidden="true" w:unhideWhenUsed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sid w:val="002D6587"/>
  </w:style>
  <w:style w:type="paragraph" w:styleId="Heading1">
    <w:name w:val="heading 1"/>
    <w:basedOn w:val="Normal"/>
    <w:next w:val="Normal"/>
    <w:link w:val="Heading1Char"/>
    <w:uiPriority w:val="9"/>
    <w:rsid w:val="002D658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D658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2D658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D6587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D6587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587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587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587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587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7C5"/>
    <w:pPr>
      <w:tabs>
        <w:tab w:val="center" w:pos="4986"/>
        <w:tab w:val="right" w:pos="9972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8E07C5"/>
  </w:style>
  <w:style w:type="paragraph" w:styleId="Footer">
    <w:name w:val="footer"/>
    <w:basedOn w:val="Normal"/>
    <w:link w:val="FooterChar"/>
    <w:uiPriority w:val="99"/>
    <w:unhideWhenUsed/>
    <w:rsid w:val="008E07C5"/>
    <w:pPr>
      <w:tabs>
        <w:tab w:val="center" w:pos="4986"/>
        <w:tab w:val="right" w:pos="9972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8E07C5"/>
  </w:style>
  <w:style w:type="paragraph" w:styleId="Title">
    <w:name w:val="Title"/>
    <w:basedOn w:val="Normal"/>
    <w:next w:val="Normal"/>
    <w:link w:val="TitleChar"/>
    <w:uiPriority w:val="10"/>
    <w:qFormat/>
    <w:rsid w:val="002D6587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TitleChar" w:customStyle="true">
    <w:name w:val="Title Char"/>
    <w:basedOn w:val="DefaultParagraphFont"/>
    <w:link w:val="Title"/>
    <w:uiPriority w:val="10"/>
    <w:rsid w:val="002D6587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Heading1Char" w:customStyle="true">
    <w:name w:val="Heading 1 Char"/>
    <w:basedOn w:val="DefaultParagraphFont"/>
    <w:link w:val="Heading1"/>
    <w:uiPriority w:val="9"/>
    <w:rsid w:val="002D6587"/>
    <w:rPr>
      <w:rFonts w:asciiTheme="majorHAnsi" w:hAnsiTheme="majorHAnsi" w:eastAsiaTheme="majorEastAsia" w:cstheme="majorBidi"/>
      <w:color w:val="262626" w:themeColor="text1" w:themeTint="D9"/>
      <w:sz w:val="32"/>
      <w:szCs w:val="32"/>
    </w:rPr>
  </w:style>
  <w:style w:type="paragraph" w:styleId="Default" w:customStyle="true">
    <w:name w:val="Default"/>
    <w:rsid w:val="00F15BB1"/>
    <w:pPr>
      <w:autoSpaceDE w:val="false"/>
      <w:autoSpaceDN w:val="false"/>
      <w:adjustRightInd w:val="false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eading2Char" w:customStyle="true">
    <w:name w:val="Heading 2 Char"/>
    <w:basedOn w:val="DefaultParagraphFont"/>
    <w:link w:val="Heading2"/>
    <w:uiPriority w:val="9"/>
    <w:rsid w:val="002D6587"/>
    <w:rPr>
      <w:rFonts w:asciiTheme="majorHAnsi" w:hAnsiTheme="majorHAnsi" w:eastAsiaTheme="majorEastAsia" w:cstheme="majorBidi"/>
      <w:color w:val="262626" w:themeColor="text1" w:themeTint="D9"/>
      <w:sz w:val="28"/>
      <w:szCs w:val="28"/>
    </w:rPr>
  </w:style>
  <w:style w:type="character" w:styleId="Heading3Char" w:customStyle="true">
    <w:name w:val="Heading 3 Char"/>
    <w:basedOn w:val="DefaultParagraphFont"/>
    <w:link w:val="Heading3"/>
    <w:uiPriority w:val="9"/>
    <w:rsid w:val="002D6587"/>
    <w:rPr>
      <w:rFonts w:asciiTheme="majorHAnsi" w:hAnsiTheme="majorHAnsi" w:eastAsiaTheme="majorEastAsia" w:cstheme="majorBidi"/>
      <w:color w:val="0D0D0D" w:themeColor="text1" w:themeTint="F2"/>
      <w:sz w:val="24"/>
      <w:szCs w:val="24"/>
    </w:rPr>
  </w:style>
  <w:style w:type="character" w:styleId="Heading4Char" w:customStyle="true">
    <w:name w:val="Heading 4 Char"/>
    <w:basedOn w:val="DefaultParagraphFont"/>
    <w:link w:val="Heading4"/>
    <w:uiPriority w:val="9"/>
    <w:rsid w:val="002D6587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5Char" w:customStyle="true">
    <w:name w:val="Heading 5 Char"/>
    <w:basedOn w:val="DefaultParagraphFont"/>
    <w:link w:val="Heading5"/>
    <w:uiPriority w:val="9"/>
    <w:semiHidden/>
    <w:rsid w:val="002D6587"/>
    <w:rPr>
      <w:rFonts w:asciiTheme="majorHAnsi" w:hAnsiTheme="majorHAnsi" w:eastAsiaTheme="majorEastAsia" w:cstheme="majorBidi"/>
      <w:color w:val="404040" w:themeColor="text1" w:themeTint="BF"/>
    </w:rPr>
  </w:style>
  <w:style w:type="character" w:styleId="Heading6Char" w:customStyle="true">
    <w:name w:val="Heading 6 Char"/>
    <w:basedOn w:val="DefaultParagraphFont"/>
    <w:link w:val="Heading6"/>
    <w:uiPriority w:val="9"/>
    <w:semiHidden/>
    <w:rsid w:val="002D6587"/>
    <w:rPr>
      <w:rFonts w:asciiTheme="majorHAnsi" w:hAnsiTheme="majorHAnsi" w:eastAsiaTheme="majorEastAsia" w:cstheme="majorBidi"/>
    </w:rPr>
  </w:style>
  <w:style w:type="character" w:styleId="Heading7Char" w:customStyle="true">
    <w:name w:val="Heading 7 Char"/>
    <w:basedOn w:val="DefaultParagraphFont"/>
    <w:link w:val="Heading7"/>
    <w:uiPriority w:val="9"/>
    <w:semiHidden/>
    <w:rsid w:val="002D6587"/>
    <w:rPr>
      <w:rFonts w:asciiTheme="majorHAnsi" w:hAnsiTheme="majorHAnsi" w:eastAsiaTheme="majorEastAsia" w:cstheme="majorBidi"/>
      <w:i/>
      <w:iCs/>
    </w:rPr>
  </w:style>
  <w:style w:type="character" w:styleId="Heading8Char" w:customStyle="true">
    <w:name w:val="Heading 8 Char"/>
    <w:basedOn w:val="DefaultParagraphFont"/>
    <w:link w:val="Heading8"/>
    <w:uiPriority w:val="9"/>
    <w:semiHidden/>
    <w:rsid w:val="002D6587"/>
    <w:rPr>
      <w:rFonts w:asciiTheme="majorHAnsi" w:hAnsiTheme="majorHAnsi" w:eastAsiaTheme="majorEastAsia" w:cstheme="majorBidi"/>
      <w:color w:val="262626" w:themeColor="text1" w:themeTint="D9"/>
      <w:sz w:val="21"/>
      <w:szCs w:val="21"/>
    </w:rPr>
  </w:style>
  <w:style w:type="character" w:styleId="Heading9Char" w:customStyle="true">
    <w:name w:val="Heading 9 Char"/>
    <w:basedOn w:val="DefaultParagraphFont"/>
    <w:link w:val="Heading9"/>
    <w:uiPriority w:val="9"/>
    <w:semiHidden/>
    <w:rsid w:val="002D6587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65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587"/>
    <w:pPr>
      <w:numPr>
        <w:ilvl w:val="1"/>
      </w:numPr>
    </w:pPr>
    <w:rPr>
      <w:color w:val="5A5A5A" w:themeColor="text1" w:themeTint="A5"/>
      <w:spacing w:val="15"/>
    </w:rPr>
  </w:style>
  <w:style w:type="character" w:styleId="SubtitleChar" w:customStyle="true">
    <w:name w:val="Subtitle Char"/>
    <w:basedOn w:val="DefaultParagraphFont"/>
    <w:link w:val="Subtitle"/>
    <w:uiPriority w:val="11"/>
    <w:rsid w:val="002D6587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2D658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D6587"/>
    <w:rPr>
      <w:i/>
      <w:iCs/>
      <w:color w:val="auto"/>
    </w:rPr>
  </w:style>
  <w:style w:type="paragraph" w:styleId="NoSpacing">
    <w:name w:val="No Spacing"/>
    <w:uiPriority w:val="1"/>
    <w:rsid w:val="002D6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6587"/>
    <w:pPr>
      <w:spacing w:before="200"/>
      <w:ind w:left="864" w:right="864"/>
    </w:pPr>
    <w:rPr>
      <w:i/>
      <w:iCs/>
      <w:color w:val="404040" w:themeColor="text1" w:themeTint="BF"/>
    </w:rPr>
  </w:style>
  <w:style w:type="character" w:styleId="QuoteChar" w:customStyle="true">
    <w:name w:val="Quote Char"/>
    <w:basedOn w:val="DefaultParagraphFont"/>
    <w:link w:val="Quote"/>
    <w:uiPriority w:val="29"/>
    <w:rsid w:val="002D658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587"/>
    <w:pPr>
      <w:pBdr>
        <w:top w:val="single" w:color="404040" w:themeColor="text1" w:themeTint="BF" w:sz="4" w:space="10"/>
        <w:bottom w:val="single" w:color="404040" w:themeColor="text1" w:themeTint="BF" w:sz="4" w:space="10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2D6587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2D658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D65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D658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D6587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2D658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6587"/>
    <w:pPr>
      <w:outlineLvl w:val="9"/>
    </w:pPr>
  </w:style>
  <w:style w:type="paragraph" w:styleId="Hheading3" w:customStyle="true">
    <w:name w:val="Hheading 3"/>
    <w:next w:val="Normal"/>
    <w:rsid w:val="001113A6"/>
    <w:pPr>
      <w:keepNext/>
      <w:spacing w:before="240" w:after="120" w:line="240" w:lineRule="auto"/>
    </w:pPr>
    <w:rPr>
      <w:rFonts w:ascii="Futura Md BT" w:hAnsi="Futura Md BT" w:eastAsia="Times New Roman" w:cs="Arial"/>
      <w:b/>
      <w:bCs/>
      <w:spacing w:val="6"/>
      <w:kern w:val="32"/>
      <w:sz w:val="18"/>
      <w:szCs w:val="18"/>
      <w:lang w:val="en-GB"/>
    </w:rPr>
  </w:style>
  <w:style w:type="paragraph" w:styleId="IllustrationCaption" w:customStyle="true">
    <w:name w:val="Illustration Caption"/>
    <w:basedOn w:val="Normal"/>
    <w:next w:val="Normal"/>
    <w:rsid w:val="001113A6"/>
    <w:pPr>
      <w:keepLines/>
      <w:spacing w:before="240" w:after="240" w:line="240" w:lineRule="auto"/>
      <w:jc w:val="both"/>
    </w:pPr>
    <w:rPr>
      <w:rFonts w:ascii="Palatino Linotype" w:hAnsi="Palatino Linotype" w:eastAsia="Times New Roman" w:cs="Times New Roman"/>
      <w:b/>
      <w:sz w:val="17"/>
      <w:szCs w:val="18"/>
      <w:lang w:val="en-GB"/>
    </w:rPr>
  </w:style>
  <w:style w:type="table" w:styleId="TableGrid">
    <w:name w:val="Table Grid"/>
    <w:basedOn w:val="TableNormal"/>
    <w:uiPriority w:val="39"/>
    <w:rsid w:val="00184CF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5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485A8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661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41B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1BB8"/>
    <w:pPr>
      <w:spacing w:line="240" w:lineRule="auto"/>
    </w:pPr>
    <w:rPr>
      <w:sz w:val="20"/>
      <w:szCs w:val="20"/>
    </w:rPr>
  </w:style>
  <w:style w:type="character" w:styleId="CommentTextChar" w:customStyle="true">
    <w:name w:val="Comment Text Char"/>
    <w:basedOn w:val="DefaultParagraphFont"/>
    <w:link w:val="CommentText"/>
    <w:uiPriority w:val="99"/>
    <w:semiHidden/>
    <w:rsid w:val="00941B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1BB8"/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rsid w:val="00941BB8"/>
    <w:rPr>
      <w:b/>
      <w:bCs/>
      <w:sz w:val="20"/>
      <w:szCs w:val="20"/>
    </w:rPr>
  </w:style>
  <w:style w:type="paragraph" w:styleId="Standa" w:customStyle="true">
    <w:name w:val="Standa"/>
    <w:link w:val="StandaChar"/>
    <w:rsid w:val="00777AB7"/>
    <w:pPr>
      <w:spacing w:after="200" w:line="276" w:lineRule="auto"/>
    </w:pPr>
    <w:rPr>
      <w:rFonts w:ascii="Calibri" w:hAnsi="Calibri" w:eastAsia="Times New Roman" w:cs="Calibri"/>
      <w:lang w:val="en-GB" w:bidi="de-DE"/>
    </w:rPr>
  </w:style>
  <w:style w:type="character" w:styleId="StandaChar" w:customStyle="true">
    <w:name w:val="Standa Char"/>
    <w:link w:val="Standa"/>
    <w:rsid w:val="00777AB7"/>
    <w:rPr>
      <w:rFonts w:ascii="Calibri" w:hAnsi="Calibri" w:eastAsia="Times New Roman" w:cs="Calibri"/>
      <w:lang w:val="en-GB" w:bidi="de-DE"/>
    </w:rPr>
  </w:style>
  <w:style w:type="paragraph" w:styleId="Revision">
    <w:name w:val="Revision"/>
    <w:hidden/>
    <w:uiPriority w:val="99"/>
    <w:semiHidden/>
    <w:rsid w:val="004F0CB0"/>
    <w:pPr>
      <w:spacing w:after="0" w:line="240" w:lineRule="auto"/>
    </w:pPr>
  </w:style>
  <w:style w:type="character" w:styleId="apple-converted-space" w:customStyle="true">
    <w:name w:val="apple-converted-space"/>
    <w:basedOn w:val="DefaultParagraphFont"/>
    <w:rsid w:val="00927E04"/>
  </w:style>
  <w:style w:type="character" w:styleId="FollowedHyperlink">
    <w:name w:val="FollowedHyperlink"/>
    <w:basedOn w:val="DefaultParagraphFont"/>
    <w:uiPriority w:val="99"/>
    <w:semiHidden/>
    <w:unhideWhenUsed/>
    <w:rsid w:val="00B21A93"/>
    <w:rPr>
      <w:color w:val="954F72" w:themeColor="followedHyperlink"/>
      <w:u w:val="single"/>
    </w:rPr>
  </w:style>
  <w:style w:type="paragraph" w:styleId="font5" w:customStyle="true">
    <w:name w:val="font5"/>
    <w:basedOn w:val="Normal"/>
    <w:rsid w:val="00BC331D"/>
    <w:pPr>
      <w:spacing w:before="100" w:beforeAutospacing="true" w:after="100" w:afterAutospacing="true" w:line="240" w:lineRule="auto"/>
    </w:pPr>
    <w:rPr>
      <w:rFonts w:ascii="Tahoma" w:hAnsi="Tahoma" w:eastAsia="Times New Roman" w:cs="Tahoma"/>
      <w:color w:val="000000"/>
      <w:sz w:val="18"/>
      <w:szCs w:val="18"/>
      <w:lang w:val="en-GB" w:eastAsia="en-GB"/>
    </w:rPr>
  </w:style>
  <w:style w:type="paragraph" w:styleId="font6" w:customStyle="true">
    <w:name w:val="font6"/>
    <w:basedOn w:val="Normal"/>
    <w:rsid w:val="00BC331D"/>
    <w:pPr>
      <w:spacing w:before="100" w:beforeAutospacing="true" w:after="100" w:afterAutospacing="true" w:line="240" w:lineRule="auto"/>
    </w:pPr>
    <w:rPr>
      <w:rFonts w:ascii="Tahoma" w:hAnsi="Tahoma" w:eastAsia="Times New Roman" w:cs="Tahoma"/>
      <w:b/>
      <w:bCs/>
      <w:color w:val="000000"/>
      <w:sz w:val="18"/>
      <w:szCs w:val="18"/>
      <w:lang w:val="en-GB" w:eastAsia="en-GB"/>
    </w:rPr>
  </w:style>
  <w:style w:type="paragraph" w:styleId="xl67" w:customStyle="true">
    <w:name w:val="xl67"/>
    <w:basedOn w:val="Normal"/>
    <w:rsid w:val="00BC331D"/>
    <w:pPr>
      <w:spacing w:before="100" w:beforeAutospacing="true" w:after="100" w:afterAutospacing="true" w:line="240" w:lineRule="auto"/>
    </w:pPr>
    <w:rPr>
      <w:rFonts w:ascii="Arial" w:hAnsi="Arial" w:eastAsia="Times New Roman" w:cs="Arial"/>
      <w:sz w:val="16"/>
      <w:szCs w:val="16"/>
      <w:lang w:val="en-GB" w:eastAsia="en-GB"/>
    </w:rPr>
  </w:style>
  <w:style w:type="paragraph" w:styleId="xl68" w:customStyle="true">
    <w:name w:val="xl68"/>
    <w:basedOn w:val="Normal"/>
    <w:rsid w:val="00BC331D"/>
    <w:pPr>
      <w:spacing w:before="100" w:beforeAutospacing="true" w:after="100" w:afterAutospacing="true" w:line="240" w:lineRule="auto"/>
    </w:pPr>
    <w:rPr>
      <w:rFonts w:ascii="Arial" w:hAnsi="Arial" w:eastAsia="Times New Roman" w:cs="Arial"/>
      <w:sz w:val="16"/>
      <w:szCs w:val="16"/>
      <w:lang w:val="en-GB" w:eastAsia="en-GB"/>
    </w:rPr>
  </w:style>
  <w:style w:type="paragraph" w:styleId="xl69" w:customStyle="true">
    <w:name w:val="xl69"/>
    <w:basedOn w:val="Normal"/>
    <w:rsid w:val="00BC331D"/>
    <w:pPr>
      <w:spacing w:before="100" w:beforeAutospacing="true" w:after="100" w:afterAutospacing="true" w:line="240" w:lineRule="auto"/>
    </w:pPr>
    <w:rPr>
      <w:rFonts w:ascii="Arial" w:hAnsi="Arial" w:eastAsia="Times New Roman" w:cs="Arial"/>
      <w:sz w:val="16"/>
      <w:szCs w:val="16"/>
      <w:lang w:val="en-GB" w:eastAsia="en-GB"/>
    </w:rPr>
  </w:style>
  <w:style w:type="paragraph" w:styleId="AdviceHeading" w:customStyle="true">
    <w:name w:val="Advice Heading"/>
    <w:basedOn w:val="Heading3"/>
    <w:link w:val="AdviceHeadingChar"/>
    <w:qFormat/>
    <w:rsid w:val="001E1618"/>
    <w:pPr>
      <w:tabs>
        <w:tab w:val="left" w:pos="1134"/>
      </w:tabs>
      <w:spacing w:before="0" w:line="240" w:lineRule="auto"/>
      <w:ind w:left="1134" w:hanging="1134"/>
      <w:jc w:val="both"/>
    </w:pPr>
    <w:rPr>
      <w:rFonts w:eastAsia="Times New Roman" w:cs="Arial" w:asciiTheme="minorHAnsi" w:hAnsiTheme="minorHAnsi"/>
      <w:b/>
      <w:color w:val="auto"/>
      <w:spacing w:val="10"/>
      <w:kern w:val="32"/>
      <w:sz w:val="22"/>
      <w:szCs w:val="22"/>
      <w:lang w:val="en-GB"/>
    </w:rPr>
  </w:style>
  <w:style w:type="paragraph" w:styleId="AdviceHeader" w:customStyle="true">
    <w:name w:val="Advice Header"/>
    <w:basedOn w:val="Header"/>
    <w:link w:val="AdviceHeaderChar"/>
    <w:qFormat/>
    <w:rsid w:val="001E1618"/>
    <w:rPr>
      <w:rFonts w:cs="Times New Roman"/>
      <w:i/>
      <w:sz w:val="18"/>
      <w:szCs w:val="18"/>
      <w:lang w:val="en-US"/>
    </w:rPr>
  </w:style>
  <w:style w:type="character" w:styleId="AdviceHeadingChar" w:customStyle="true">
    <w:name w:val="Advice Heading Char"/>
    <w:basedOn w:val="Heading3Char"/>
    <w:link w:val="AdviceHeading"/>
    <w:rsid w:val="001E1618"/>
    <w:rPr>
      <w:rFonts w:eastAsia="Times New Roman" w:cs="Arial" w:asciiTheme="majorHAnsi" w:hAnsiTheme="majorHAnsi"/>
      <w:b/>
      <w:color w:val="0D0D0D" w:themeColor="text1" w:themeTint="F2"/>
      <w:spacing w:val="10"/>
      <w:kern w:val="32"/>
      <w:sz w:val="24"/>
      <w:szCs w:val="24"/>
      <w:lang w:val="en-GB"/>
    </w:rPr>
  </w:style>
  <w:style w:type="paragraph" w:styleId="AdviceText" w:customStyle="true">
    <w:name w:val="Advice Text"/>
    <w:basedOn w:val="Normal"/>
    <w:link w:val="AdviceTextChar"/>
    <w:qFormat/>
    <w:rsid w:val="001E1618"/>
    <w:pPr>
      <w:spacing w:after="0" w:line="240" w:lineRule="auto"/>
      <w:jc w:val="both"/>
    </w:pPr>
    <w:rPr>
      <w:rFonts w:cs="Times New Roman"/>
      <w:sz w:val="20"/>
      <w:szCs w:val="20"/>
      <w:lang w:val="en-US"/>
    </w:rPr>
  </w:style>
  <w:style w:type="character" w:styleId="AdviceHeaderChar" w:customStyle="true">
    <w:name w:val="Advice Header Char"/>
    <w:basedOn w:val="HeaderChar"/>
    <w:link w:val="AdviceHeader"/>
    <w:rsid w:val="001E1618"/>
    <w:rPr>
      <w:rFonts w:cs="Times New Roman"/>
      <w:i/>
      <w:sz w:val="18"/>
      <w:szCs w:val="18"/>
      <w:lang w:val="en-US"/>
    </w:rPr>
  </w:style>
  <w:style w:type="paragraph" w:styleId="FigureNumber" w:customStyle="true">
    <w:name w:val="Figure Number"/>
    <w:basedOn w:val="Normal"/>
    <w:link w:val="FigureNumberChar"/>
    <w:qFormat/>
    <w:rsid w:val="001E1618"/>
    <w:rPr>
      <w:b/>
      <w:sz w:val="18"/>
      <w:szCs w:val="18"/>
      <w:lang w:val="en-US"/>
    </w:rPr>
  </w:style>
  <w:style w:type="character" w:styleId="AdviceTextChar" w:customStyle="true">
    <w:name w:val="Advice Text Char"/>
    <w:basedOn w:val="DefaultParagraphFont"/>
    <w:link w:val="AdviceText"/>
    <w:rsid w:val="001E1618"/>
    <w:rPr>
      <w:rFonts w:cs="Times New Roman"/>
      <w:sz w:val="20"/>
      <w:szCs w:val="20"/>
      <w:lang w:val="en-US"/>
    </w:rPr>
  </w:style>
  <w:style w:type="character" w:styleId="FigureNumberChar" w:customStyle="true">
    <w:name w:val="Figure Number Char"/>
    <w:basedOn w:val="DefaultParagraphFont"/>
    <w:link w:val="FigureNumber"/>
    <w:rsid w:val="001E1618"/>
    <w:rPr>
      <w:b/>
      <w:sz w:val="18"/>
      <w:szCs w:val="18"/>
      <w:lang w:val="en-US"/>
    </w:rPr>
  </w:style>
  <w:style w:type="paragraph" w:styleId="CaptionText" w:customStyle="true">
    <w:name w:val="Caption Text"/>
    <w:basedOn w:val="Normal"/>
    <w:link w:val="CaptionTextChar"/>
    <w:qFormat/>
    <w:rsid w:val="00AF706C"/>
    <w:rPr>
      <w:rFonts w:eastAsia="Times New Roman" w:cs="Times New Roman"/>
      <w:sz w:val="18"/>
      <w:szCs w:val="18"/>
      <w:lang w:val="en-GB"/>
    </w:rPr>
  </w:style>
  <w:style w:type="character" w:styleId="CaptionTextChar" w:customStyle="true">
    <w:name w:val="Caption Text Char"/>
    <w:basedOn w:val="DefaultParagraphFont"/>
    <w:link w:val="CaptionText"/>
    <w:rsid w:val="00AF706C"/>
    <w:rPr>
      <w:rFonts w:eastAsia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notes.xml" Type="http://schemas.openxmlformats.org/officeDocument/2006/relationships/footnotes" Id="rId8"></Relationship><Relationship TargetMode="External" Target="http://ices.dk/marine-data/tools/Pages/stock-assessment-graphs.aspx" Type="http://schemas.openxmlformats.org/officeDocument/2006/relationships/hyperlink" Id="rId13"></Relationship><Relationship Target="footer2.xml" Type="http://schemas.openxmlformats.org/officeDocument/2006/relationships/footer" Id="rId18"></Relationship><Relationship Target="../customXml/item3.xml" Type="http://schemas.openxmlformats.org/officeDocument/2006/relationships/customXml" Id="rId3"></Relationship><Relationship Target="fontTable.xml" Type="http://schemas.openxmlformats.org/officeDocument/2006/relationships/fontTable" Id="rId21"></Relationship><Relationship Target="webSettings.xml" Type="http://schemas.openxmlformats.org/officeDocument/2006/relationships/webSettings" Id="rId7"></Relationship><Relationship TargetMode="External" Target="http://ices.dk/marine-data/tools/Pages/stock-assessment-graphs.aspx" Type="http://schemas.openxmlformats.org/officeDocument/2006/relationships/hyperlink" Id="rId12"></Relationship><Relationship Target="footer1.xml" Type="http://schemas.openxmlformats.org/officeDocument/2006/relationships/footer" Id="rId17"></Relationship><Relationship Target="../customXml/item2.xml" Type="http://schemas.openxmlformats.org/officeDocument/2006/relationships/customXml" Id="rId2"></Relationship><Relationship Target="header2.xml" Type="http://schemas.openxmlformats.org/officeDocument/2006/relationships/header" Id="rId16"></Relationship><Relationship Target="footer3.xml" Type="http://schemas.openxmlformats.org/officeDocument/2006/relationships/footer" Id="rId20"></Relationship><Relationship Target="../customXml/item1.xml" Type="http://schemas.openxmlformats.org/officeDocument/2006/relationships/customXml" Id="rId1"></Relationship><Relationship Target="settings.xml" Type="http://schemas.openxmlformats.org/officeDocument/2006/relationships/settings" Id="rId6"></Relationship><Relationship Target="commentsExtended.xml" Type="http://schemas.microsoft.com/office/2011/relationships/commentsExtended" Id="rId11"></Relationship><Relationship Target="styles.xml" Type="http://schemas.openxmlformats.org/officeDocument/2006/relationships/styles" Id="rId5"></Relationship><Relationship Target="header1.xml" Type="http://schemas.openxmlformats.org/officeDocument/2006/relationships/header" Id="rId15"></Relationship><Relationship Target="theme/theme1.xml" Type="http://schemas.openxmlformats.org/officeDocument/2006/relationships/theme" Id="rId23"></Relationship><Relationship Target="comments.xml" Type="http://schemas.openxmlformats.org/officeDocument/2006/relationships/comments" Id="rId10"></Relationship><Relationship Target="header3.xml" Type="http://schemas.openxmlformats.org/officeDocument/2006/relationships/header" Id="rId19"></Relationship><Relationship Target="../customXml/item4.xml" Type="http://schemas.openxmlformats.org/officeDocument/2006/relationships/customXml" Id="rId4"></Relationship><Relationship Target="endnotes.xml" Type="http://schemas.openxmlformats.org/officeDocument/2006/relationships/endnotes" Id="rId9"></Relationship><Relationship TargetMode="External" Target="http://ices.dk/marine-data/tools/Pages/stock-assessment-graphs.aspx" Type="http://schemas.openxmlformats.org/officeDocument/2006/relationships/hyperlink" Id="rId14"></Relationship><Relationship Target="people.xml" Type="http://schemas.microsoft.com/office/2011/relationships/people" Id="rId22"></Relationship><Relationship Target="numbering.xml" Type="http://schemas.openxmlformats.org/officeDocument/2006/relationships/numbering" Id="rId24"/></Relationships>
</file>

<file path=word/_rels/header3.xml.rels><?xml version="1.0" encoding="UTF-8" standalone="yes"?><Relationships xmlns="http://schemas.openxmlformats.org/package/2006/relationships"><Relationship Target="media/image1.png" Type="http://schemas.openxmlformats.org/officeDocument/2006/relationships/image" Id="rId1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></Relationship></Relationships>
</file>

<file path=customXml/_rels/item3.xml.rels><?xml version="1.0" encoding="UTF-8" standalone="yes"?><Relationships xmlns="http://schemas.openxmlformats.org/package/2006/relationships"><Relationship Target="itemProps3.xml" Type="http://schemas.openxmlformats.org/officeDocument/2006/relationships/customXmlProps" Id="rId1"></Relationship></Relationships>
</file>

<file path=customXml/_rels/item4.xml.rels><?xml version="1.0" encoding="UTF-8" standalone="yes"?><Relationships xmlns="http://schemas.openxmlformats.org/package/2006/relationships"><Relationship Target="itemProps4.xml" Type="http://schemas.openxmlformats.org/officeDocument/2006/relationships/customXmlProps" Id="rId1"></Relationship></Relationships>
</file>

<file path=customXml/item1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>
    <TaxCatchAll xmlns="4d5313c0-c1e6-4122-afa9-da1ccdba405d"/>
    <TaxKeywordTaxHTField xmlns="4d5313c0-c1e6-4122-afa9-da1ccdba405d">
      <Terms xmlns="http://schemas.microsoft.com/office/infopath/2007/PartnerControls"/>
    </TaxKeywordTaxHTField>
    <TaxCatchAllLabel xmlns="4d5313c0-c1e6-4122-afa9-da1ccdba405d"/>
    <EG xmlns="DD7490F0-041C-48F2-B5BB-ED7F73B9CA70">WGNSSK</EG>
    <ADG xmlns="DD7490F0-041C-48F2-B5BB-ED7F73B9CA70">ADGReopening</ADG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77CAF461B2A235428E96DDADFDA55302" ma:contentTypeName="Document" ma:contentTypeScope="" ma:contentTypeVersion="0" ma:versionID="8dd9597ae0029310878909e23987c5af">
  <xsd:schema xmlns:ns2="4d5313c0-c1e6-4122-afa9-da1ccdba405d" xmlns:ns3="DD7490F0-041C-48F2-B5BB-ED7F73B9CA70" xmlns:p="http://schemas.microsoft.com/office/2006/metadata/properties" xmlns:xs="http://www.w3.org/2001/XMLSchema" xmlns:xsd="http://www.w3.org/2001/XMLSchema" ma:fieldsID="827a547ce6a748fb9e957b22cac59dee" ma:root="true" ns2:_="" ns3:_="" targetNamespace="http://schemas.microsoft.com/office/2006/metadata/properties">
    <xsd:import namespace="4d5313c0-c1e6-4122-afa9-da1ccdba405d"/>
    <xsd:import namespace="DD7490F0-041C-48F2-B5BB-ED7F73B9CA70"/>
    <xsd:element name="properties">
      <xsd:complexType>
        <xsd:sequence>
          <xsd:element name="documentManagement">
            <xsd:complexType>
              <xsd:all>
                <xsd:element minOccurs="0" ref="ns2:TaxKeywordTaxHTField"/>
                <xsd:element minOccurs="0" ref="ns2:TaxCatchAll"/>
                <xsd:element minOccurs="0" ref="ns2:TaxCatchAllLabel"/>
                <xsd:element ref="ns3:EG"/>
                <xsd:element ref="ns3:ADG"/>
              </xsd:all>
            </xsd:complexType>
          </xsd:element>
        </xsd:sequence>
      </xsd:complexType>
    </xsd:element>
  </xsd:schema>
  <xsd:schema xmlns:dms="http://schemas.microsoft.com/office/2006/documentManagement/types" xmlns:pc="http://schemas.microsoft.com/office/infopath/2007/PartnerControls" xmlns:xs="http://www.w3.org/2001/XMLSchema" xmlns:xsd="http://www.w3.org/2001/XMLSchema" elementFormDefault="qualified" targetNamespace="4d5313c0-c1e6-4122-afa9-da1ccdba405d">
    <xsd:import namespace="http://schemas.microsoft.com/office/2006/documentManagement/types"/>
    <xsd:import namespace="http://schemas.microsoft.com/office/infopath/2007/PartnerControls"/>
    <xsd:element ma:anchorId="00000000-0000-0000-0000-000000000000" ma:displayName="Enterprise Keywords" ma:fieldId="{23f27201-bee3-471e-b2e7-b64fd8b7ca38}" ma:index="8" ma:internalName="TaxKeywordTaxHTField" ma:isKeyword="true" ma:open="true" ma:readOnly="false" ma:sspId="d535ea34-4ec8-4f57-b85b-d8a79460f026" ma:taxonomy="true" ma:taxonomyFieldName="TaxKeyword" ma:taxonomyMulti="true" ma:termSetId="00000000-0000-0000-0000-000000000000" name="TaxKeywordTaxHTField" nillable="true">
      <xsd:complexType>
        <xsd:sequence>
          <xsd:element maxOccurs="1" minOccurs="0" ref="pc:Terms"/>
        </xsd:sequence>
      </xsd:complexType>
    </xsd:element>
    <xsd:element ma:description="" ma:displayName="Taxonomy Catch All Column" ma:hidden="true" ma:index="9" ma:internalName="TaxCatchAll" ma:list="{b2cc2698-5fc4-4ff6-b1d3-64e75efa1efc}" ma:readOnly="false" ma:showField="CatchAllData" ma:web="4d5313c0-c1e6-4122-afa9-da1ccdba405d" name="TaxCatchAll" nillable="true">
      <xsd:complexType>
        <xsd:complexContent>
          <xsd:extension base="dms:MultiChoiceLookup">
            <xsd:sequence>
              <xsd:element maxOccurs="unbounded" minOccurs="0" name="Value" nillable="true" type="dms:Lookup"/>
            </xsd:sequence>
          </xsd:extension>
        </xsd:complexContent>
      </xsd:complexType>
    </xsd:element>
    <xsd:element ma:description="" ma:displayName="Taxonomy Catch All Column1" ma:hidden="true" ma:index="10" ma:internalName="TaxCatchAllLabel" ma:list="{b2cc2698-5fc4-4ff6-b1d3-64e75efa1efc}" ma:readOnly="false" ma:showField="CatchAllDataLabel" ma:web="4d5313c0-c1e6-4122-afa9-da1ccdba405d" name="TaxCatchAllLabel" nillable="true">
      <xsd:complexType>
        <xsd:complexContent>
          <xsd:extension base="dms:MultiChoiceLookup">
            <xsd:sequence>
              <xsd:element maxOccurs="unbounded" minOccurs="0" name="Value" nillable="true" type="dms:Lookup"/>
            </xsd:sequence>
          </xsd:extension>
        </xsd:complexContent>
      </xsd:complexType>
    </xsd:element>
  </xsd:schema>
  <xsd:schema xmlns:dms="http://schemas.microsoft.com/office/2006/documentManagement/types" xmlns:pc="http://schemas.microsoft.com/office/infopath/2007/PartnerControls" xmlns:xs="http://www.w3.org/2001/XMLSchema" xmlns:xsd="http://www.w3.org/2001/XMLSchema" elementFormDefault="qualified" targetNamespace="DD7490F0-041C-48F2-B5BB-ED7F73B9CA70">
    <xsd:import namespace="http://schemas.microsoft.com/office/2006/documentManagement/types"/>
    <xsd:import namespace="http://schemas.microsoft.com/office/infopath/2007/PartnerControls"/>
    <xsd:element ma:displayName="EG" ma:index="12" ma:internalName="EG" name="EG">
      <xsd:simpleType>
        <xsd:restriction base="dms:Text">
          <xsd:maxLength value="255"/>
        </xsd:restriction>
      </xsd:simpleType>
    </xsd:element>
    <xsd:element ma:displayName="ADG" ma:index="13" ma:internalName="ADG" name="ADG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dc="http://purl.org/dc/elements/1.1/" xmlns:dcterms="http://purl.org/dc/terms/" xmlns:odoc="http://schemas.microsoft.com/internal/obd" xmlns:xsd="http://www.w3.org/2001/XMLSchema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pc="http://schemas.microsoft.com/office/infopath/2007/PartnerControls" xmlns:xs="http://www.w3.org/2001/XMLSchema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AC5DE894-47E8-4ECD-9C6A-059B2B457815}">
  <ds:schemaRefs>
    <ds:schemaRef ds:uri="http://schemas.microsoft.com/office/2006/metadata/properties"/>
    <ds:schemaRef ds:uri="http://schemas.microsoft.com/office/infopath/2007/PartnerControls"/>
    <ds:schemaRef ds:uri="4d5313c0-c1e6-4122-afa9-da1ccdba405d"/>
    <ds:schemaRef ds:uri="DD7490F0-041C-48F2-B5BB-ED7F73B9CA70"/>
  </ds:schemaRefs>
</ds:datastoreItem>
</file>

<file path=customXml/itemProps2.xml><?xml version="1.0" encoding="utf-8"?>
<ds:datastoreItem xmlns:ds="http://schemas.openxmlformats.org/officeDocument/2006/customXml" ds:itemID="{01A417DD-B3F1-46EF-B4AF-B864B4326F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F84A14-7D0A-457F-8B45-8551EAE880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5313c0-c1e6-4122-afa9-da1ccdba405d"/>
    <ds:schemaRef ds:uri="DD7490F0-041C-48F2-B5BB-ED7F73B9CA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E8CB31-40C9-4593-A0B9-816267D1A241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ICES</properties:Company>
  <properties:Pages>3</properties:Pages>
  <properties:Words>674</properties:Words>
  <properties:Characters>3845</properties:Characters>
  <properties:Lines>32</properties:Lines>
  <properties:Paragraphs>9</properties:Paragraphs>
  <properties:TotalTime>112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4510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2016-12-07T13:04:00Z</dcterms:created>
  <dc:creator>ICES/scott.large on computer ICES195</dc:creator>
  <dc:description/>
  <cp:keywords/>
  <cp:lastModifiedBy>docx4j</cp:lastModifiedBy>
  <cp:lastPrinted>2014-11-21T13:25:00Z</cp:lastPrinted>
  <dcterms:modified xmlns:xsi="http://www.w3.org/2001/XMLSchema-instance" xsi:type="dcterms:W3CDTF">2017-01-06T12:56:00Z</dcterms:modified>
  <cp:revision>17</cp:revision>
  <dc:subject/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0x01010077CAF461B2A235428E96DDADFDA55302</vt:lpwstr>
  </property>
  <property fmtid="{D5CDD505-2E9C-101B-9397-08002B2CF9AE}" pid="3" name="TaxKeyword">
    <vt:lpwstr/>
  </property>
</Properties>
</file>