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
        <w:spacing w:before="240" w:after="120"/>
        <w:jc w:val="center"/>
        <w:rPr/>
      </w:pPr>
      <w:r>
        <w:rPr/>
        <w:t>Format draft for RCEF and SCF: “Regional Catch Estimates Format” and “Stock Coordination Format”</w:t>
      </w:r>
    </w:p>
    <w:p>
      <w:pPr>
        <w:pStyle w:val="Textbody"/>
        <w:jc w:val="center"/>
        <w:rPr/>
      </w:pPr>
      <w:r>
        <w:rPr/>
        <w:t>Report from intersessional subgroup of WGRDBESGOV</w:t>
      </w:r>
    </w:p>
    <w:p>
      <w:pPr>
        <w:pStyle w:val="Textbody"/>
        <w:jc w:val="center"/>
        <w:rPr/>
      </w:pPr>
      <w:r>
        <w:rPr/>
        <w:t>Jan-June 2024</w:t>
      </w:r>
    </w:p>
    <w:p>
      <w:pPr>
        <w:pStyle w:val="Textbody"/>
        <w:jc w:val="center"/>
        <w:rPr/>
      </w:pPr>
      <w:r>
        <w:rPr/>
        <w:t>Bart Vanelslander, Jonathan Rault, Maria Ching Villanueva, Anthony Hennessey, Edvin Fuglebakk</w:t>
      </w:r>
    </w:p>
    <w:p>
      <w:pPr>
        <w:pStyle w:val="Standard"/>
        <w:rPr/>
      </w:pPr>
      <w:r>
        <w:rPr/>
      </w:r>
    </w:p>
    <w:p>
      <w:pPr>
        <w:pStyle w:val="Titre1"/>
        <w:rPr/>
      </w:pPr>
      <w:r>
        <w:rPr/>
        <w:t>Background</w:t>
      </w:r>
    </w:p>
    <w:p>
      <w:pPr>
        <w:pStyle w:val="Standard"/>
        <w:jc w:val="both"/>
        <w:rPr/>
      </w:pPr>
      <w:r>
        <w:rPr/>
        <w:t>Exchange formats for national estimates and stock coordination need to be defined in order to standardize exchange, so that general stock-coordination scripts can be developed, and so that the exchange of information can be easily specified in sufficient detail for countries to sign off on data sharing. Draft proposals for such formats have been made at the WKRDBES_Raise&amp;TAF 2023 workshop (ICES 2003</w:t>
      </w:r>
      <w:r>
        <w:rPr/>
        <w:t>). The work is naturally carried on in the groups that will be developing software to support RDBES estimation. However, the sub-group that worked on this format during WKRDBES_Raise&amp;TAF expressed concerns about some of the solutions they had proposed, and about whether the requirements that has been identified earlier in RDBES development was sufficiently documented for further development. The WGRDBESGOV therefore established an intersessional subgroup that was tasked with preparing a format draft for the working groups that will be developing RDBES estimation software. This is the report from that group.</w:t>
      </w:r>
    </w:p>
    <w:p>
      <w:pPr>
        <w:pStyle w:val="Standard"/>
        <w:rPr/>
      </w:pPr>
      <w:r>
        <w:rPr/>
      </w:r>
    </w:p>
    <w:p>
      <w:pPr>
        <w:pStyle w:val="Standard"/>
        <w:jc w:val="both"/>
        <w:rPr/>
      </w:pPr>
      <w:r>
        <w:rPr/>
        <w:t>A group that develops software for estimation support with RDBES is already established (WGRDBES-EST). A group for developing stock coordination tools was proposed at WGRDBESGOV 2023, and is tentatively called WGRDBES-StockCoord.</w:t>
      </w:r>
    </w:p>
    <w:p>
      <w:pPr>
        <w:pStyle w:val="Standard"/>
        <w:rPr>
          <w:shd w:fill="FFFF00" w:val="clear"/>
        </w:rPr>
      </w:pPr>
      <w:r>
        <w:rPr>
          <w:shd w:fill="FFFF00" w:val="clear"/>
        </w:rPr>
      </w:r>
    </w:p>
    <w:p>
      <w:pPr>
        <w:pStyle w:val="Standard"/>
        <w:jc w:val="both"/>
        <w:rPr/>
      </w:pPr>
      <w:r>
        <w:rPr/>
        <w:t>The need for this exchange format was reported in the WGRDBESGOV report from 2021 (ICES 2022) and was summarized there in the figure below:</w:t>
      </w:r>
    </w:p>
    <w:p>
      <w:pPr>
        <w:pStyle w:val="Standard"/>
        <w:rPr/>
      </w:pPr>
      <w:r>
        <w:rPr/>
        <w:drawing>
          <wp:inline distT="0" distB="0" distL="0" distR="0">
            <wp:extent cx="6120130" cy="3616325"/>
            <wp:effectExtent l="0" t="0" r="0" b="0"/>
            <wp:docPr id="1" name="Bild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e1" descr=""/>
                    <pic:cNvPicPr>
                      <a:picLocks noChangeAspect="1" noChangeArrowheads="1"/>
                    </pic:cNvPicPr>
                  </pic:nvPicPr>
                  <pic:blipFill>
                    <a:blip r:embed="rId2"/>
                    <a:stretch>
                      <a:fillRect/>
                    </a:stretch>
                  </pic:blipFill>
                  <pic:spPr bwMode="auto">
                    <a:xfrm>
                      <a:off x="0" y="0"/>
                      <a:ext cx="6120130" cy="3616325"/>
                    </a:xfrm>
                    <a:prstGeom prst="rect">
                      <a:avLst/>
                    </a:prstGeom>
                  </pic:spPr>
                </pic:pic>
              </a:graphicData>
            </a:graphic>
          </wp:inline>
        </w:drawing>
      </w:r>
    </w:p>
    <w:p>
      <w:pPr>
        <w:pStyle w:val="Standard"/>
        <w:rPr/>
      </w:pPr>
      <w:r>
        <w:rPr/>
      </w:r>
    </w:p>
    <w:p>
      <w:pPr>
        <w:pStyle w:val="Standard"/>
        <w:jc w:val="both"/>
        <w:rPr/>
      </w:pPr>
      <w:r>
        <w:rPr/>
        <w:t>The RDBES/TAF development has been gravitating towards organising this workflow in two kinds of TAF repositories, one for “National Estimates” and one for “Combined national estimates” (stock coordination):</w:t>
      </w:r>
    </w:p>
    <w:p>
      <w:pPr>
        <w:pStyle w:val="Standard"/>
        <w:rPr/>
      </w:pPr>
      <w:r>
        <w:rPr/>
        <w:drawing>
          <wp:inline distT="0" distB="0" distL="0" distR="0">
            <wp:extent cx="6587490" cy="34690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587490" cy="3469005"/>
                    </a:xfrm>
                    <a:prstGeom prst="rect">
                      <a:avLst/>
                    </a:prstGeom>
                  </pic:spPr>
                </pic:pic>
              </a:graphicData>
            </a:graphic>
          </wp:inline>
        </w:drawing>
      </w:r>
    </w:p>
    <w:p>
      <w:pPr>
        <w:pStyle w:val="Standard"/>
        <w:rPr/>
      </w:pPr>
      <w:r>
        <w:rPr/>
      </w:r>
    </w:p>
    <w:p>
      <w:pPr>
        <w:pStyle w:val="Standard"/>
        <w:rPr/>
      </w:pPr>
      <w:r>
        <w:rPr/>
      </w:r>
    </w:p>
    <w:p>
      <w:pPr>
        <w:pStyle w:val="Standard"/>
        <w:jc w:val="both"/>
        <w:rPr/>
      </w:pPr>
      <w:r>
        <w:rPr/>
        <w:t>Then the exchange format we require can be considered a standard TAF output type for “national estimates” repositories.</w:t>
      </w:r>
    </w:p>
    <w:p>
      <w:pPr>
        <w:pStyle w:val="Standard"/>
        <w:rPr/>
      </w:pPr>
      <w:r>
        <w:rPr/>
      </w:r>
    </w:p>
    <w:p>
      <w:pPr>
        <w:pStyle w:val="Standard"/>
        <w:jc w:val="both"/>
        <w:rPr/>
      </w:pPr>
      <w:r>
        <w:rPr/>
        <w:t>While we are currently working with workflows that provide estimates for each nation, RDBES development has envisioned generalizing these tasks to regional estimation where count</w:t>
      </w:r>
      <w:r>
        <w:rPr/>
        <w:t>i</w:t>
      </w:r>
      <w:r>
        <w:rPr/>
        <w:t>res that run regional sampling programs together wish to do so. We will therefore suggest to call the exchange format Regional Catch Estimates Format, noting that a nation is just a special case of a region, and we will use the following abbreviations:</w:t>
      </w:r>
    </w:p>
    <w:p>
      <w:pPr>
        <w:pStyle w:val="Standard"/>
        <w:rPr/>
      </w:pPr>
      <w:r>
        <w:rPr/>
      </w:r>
    </w:p>
    <w:p>
      <w:pPr>
        <w:pStyle w:val="Standard"/>
        <w:jc w:val="both"/>
        <w:rPr/>
      </w:pPr>
      <w:r>
        <w:rPr/>
        <w:t>RCEF: Regional Catch Estimates Format, referred to in 2021 WGRDBESGOV report as RDBES National Output format. An TAF output type.</w:t>
      </w:r>
    </w:p>
    <w:p>
      <w:pPr>
        <w:pStyle w:val="Standard"/>
        <w:jc w:val="both"/>
        <w:rPr/>
      </w:pPr>
      <w:r>
        <w:rPr/>
        <w:t>ICEF: InterCatch Exchange Format, referred to in 2021 WGRDBESGOV report as Legacy format.</w:t>
      </w:r>
    </w:p>
    <w:p>
      <w:pPr>
        <w:pStyle w:val="Standard"/>
        <w:jc w:val="both"/>
        <w:rPr/>
      </w:pPr>
      <w:r>
        <w:rPr/>
        <w:t>SCF: Stock Coordination Format, referred to in 2021 WGRDBESGOV report as Stock Output Format.</w:t>
      </w:r>
    </w:p>
    <w:p>
      <w:pPr>
        <w:pStyle w:val="Standard"/>
        <w:rPr/>
      </w:pPr>
      <w:r>
        <w:rPr/>
      </w:r>
    </w:p>
    <w:p>
      <w:pPr>
        <w:pStyle w:val="Standard"/>
        <w:rPr>
          <w:b/>
          <w:b/>
          <w:bCs/>
        </w:rPr>
      </w:pPr>
      <w:r>
        <w:rPr>
          <w:b/>
          <w:bCs/>
        </w:rPr>
        <w:t>Requirements</w:t>
      </w:r>
    </w:p>
    <w:p>
      <w:pPr>
        <w:pStyle w:val="Standard"/>
        <w:rPr/>
      </w:pPr>
      <w:r>
        <w:rPr/>
        <w:t>Requirements for the RCEF format have been subject to discussions in the WGRDBESGOV core group and in workshops that have developed the RDBES data model. A suggestion for a list of requirements was made explicit in WKRDBES_RAISE&amp;TAF 2 (ICES 2003). The list of requirements below is based on those requirements:</w:t>
      </w:r>
    </w:p>
    <w:p>
      <w:pPr>
        <w:pStyle w:val="Standard"/>
        <w:rPr/>
      </w:pPr>
      <w:r>
        <w:rPr/>
      </w:r>
    </w:p>
    <w:p>
      <w:pPr>
        <w:pStyle w:val="Standard"/>
        <w:rPr/>
      </w:pPr>
      <w:r>
        <w:rPr/>
        <w:t>1. The exchange format should be compatible with the InterCatch exchange format. (Raise&amp;TAF 2022)</w:t>
      </w:r>
    </w:p>
    <w:p>
      <w:pPr>
        <w:pStyle w:val="Standard"/>
        <w:rPr/>
      </w:pPr>
      <w:r>
        <w:rPr/>
      </w:r>
    </w:p>
    <w:p>
      <w:pPr>
        <w:pStyle w:val="Standard"/>
        <w:jc w:val="both"/>
        <w:rPr/>
      </w:pPr>
      <w:r>
        <w:rPr/>
        <w:t>Users are expected to adapt to RDBES-TAF gradually, and perhaps at different pace for different nations. , Since we cannot expect historical data to be generally possible to provide to RDBES, it is desirable to leverage workflows adapted to InterCatch and to leverage historical data archived in InterCatch. It should therefore be possible to convert ICEF to RCEF without loss of information. In order to quickly leverage any downstream software that is adapted to the ICEF format, it is also desirable to be able to convert RCEF to ICEF, clearly specifying the possible loss of information in the process. In order to satisfy requirement 2, some information that is mandatory in ICEF may be optional in RCEF, therefore the conversion from RCEF to ICEF can probably not be achieved for all valid RCEF data. That is: RCEF should support, but not require the information provided through InterCatch, so that coarser domain definition are supported when data providers and stock coordinators have agreed on which domain definitions are acceptable.</w:t>
      </w:r>
    </w:p>
    <w:p>
      <w:pPr>
        <w:pStyle w:val="Standard"/>
        <w:rPr/>
      </w:pPr>
      <w:r>
        <w:rPr/>
      </w:r>
    </w:p>
    <w:p>
      <w:pPr>
        <w:pStyle w:val="Standard"/>
        <w:jc w:val="both"/>
        <w:rPr/>
      </w:pPr>
      <w:r>
        <w:rPr/>
        <w:t>2. Format outputs should be flexible, so that granularity in information can be decided for each use case. (Raise&amp;TAF 2022)</w:t>
      </w:r>
    </w:p>
    <w:p>
      <w:pPr>
        <w:pStyle w:val="Standard"/>
        <w:rPr/>
      </w:pPr>
      <w:r>
        <w:rPr/>
      </w:r>
    </w:p>
    <w:p>
      <w:pPr>
        <w:pStyle w:val="Standard"/>
        <w:jc w:val="both"/>
        <w:rPr/>
      </w:pPr>
      <w:r>
        <w:rPr/>
        <w:t>Higher precision estimates may be available for more aggregated data, and privacy concerns may be easier accommodated by more aggregated data. On the other hand, assessment models may leverage information at higher resolution when data is less aggregated. A flexible format will facilitate agreeing upon the level of aggregation provided, based on the available precision of estimates and the needs of the assessment model.</w:t>
      </w:r>
    </w:p>
    <w:p>
      <w:pPr>
        <w:pStyle w:val="Standard"/>
        <w:jc w:val="both"/>
        <w:rPr/>
      </w:pPr>
      <w:r>
        <w:rPr/>
      </w:r>
    </w:p>
    <w:p>
      <w:pPr>
        <w:pStyle w:val="Standard"/>
        <w:rPr/>
      </w:pPr>
      <w:r>
        <w:rPr/>
      </w:r>
    </w:p>
    <w:p>
      <w:pPr>
        <w:pStyle w:val="Standard"/>
        <w:jc w:val="both"/>
        <w:rPr/>
      </w:pPr>
      <w:r>
        <w:rPr/>
        <w:t>Likewise, high precision estimates may be easily obtainable for parts of a fishery, while parts must be inferred by imputation or other techniques. A flexible format will allow more details to be conveyed where the precision is high, and less when speculative inference techniques are required (e.g. imputation).</w:t>
      </w:r>
    </w:p>
    <w:p>
      <w:pPr>
        <w:pStyle w:val="Standard"/>
        <w:rPr/>
      </w:pPr>
      <w:r>
        <w:rPr/>
      </w:r>
    </w:p>
    <w:p>
      <w:pPr>
        <w:pStyle w:val="Standard"/>
        <w:jc w:val="both"/>
        <w:rPr/>
      </w:pPr>
      <w:r>
        <w:rPr/>
        <w:t>In addition to flexibility in which variables are used to represent estimation domains, it should be considered that estimations are often provided for domains represented by groups of standard codes. For example, gear groups are defined by groups of standard FAO gear codes and maturity may be collapsed to maturing / immature instead of standard maturation scales.</w:t>
      </w:r>
    </w:p>
    <w:p>
      <w:pPr>
        <w:pStyle w:val="Standard"/>
        <w:rPr/>
      </w:pPr>
      <w:r>
        <w:rPr/>
      </w:r>
    </w:p>
    <w:p>
      <w:pPr>
        <w:pStyle w:val="Standard"/>
        <w:jc w:val="both"/>
        <w:rPr/>
      </w:pPr>
      <w:r>
        <w:rPr/>
        <w:t>3. RCEF should have fields to convey uncertainty in estimates and quality of inference (ICES 2023). These should be suitable for further processing. Particularly, it should be possible to infer the variances for sums and weighted averages of domain estimates, when these are provided, so that they will also be known for chosen aggregations of domains.</w:t>
      </w:r>
    </w:p>
    <w:p>
      <w:pPr>
        <w:pStyle w:val="Standard"/>
        <w:rPr/>
      </w:pPr>
      <w:r>
        <w:rPr/>
      </w:r>
    </w:p>
    <w:p>
      <w:pPr>
        <w:pStyle w:val="Standard"/>
        <w:rPr/>
      </w:pPr>
      <w:r>
        <w:rPr/>
        <w:t>4. The RCEF format should be extensible and clearly versioned.</w:t>
      </w:r>
    </w:p>
    <w:p>
      <w:pPr>
        <w:pStyle w:val="Standard"/>
        <w:rPr/>
      </w:pPr>
      <w:r>
        <w:rPr/>
      </w:r>
    </w:p>
    <w:p>
      <w:pPr>
        <w:pStyle w:val="Standard"/>
        <w:jc w:val="both"/>
        <w:rPr/>
      </w:pPr>
      <w:r>
        <w:rPr/>
        <w:t>Stock coordination scripts and software supporting national or regional estimationwill be developed before and parallel to the adaptation of users to RDBES-TAF. We also expect revisions of workflows to leverage the information available in RDBES that was not available in earlier assessment support systems. The format must therefore likely be extended several times, and the format should provide some rules for software developers to ensure backwards compatibility when new format versions are released.</w:t>
      </w:r>
    </w:p>
    <w:p>
      <w:pPr>
        <w:pStyle w:val="Standard"/>
        <w:rPr/>
      </w:pPr>
      <w:r>
        <w:rPr/>
      </w:r>
    </w:p>
    <w:p>
      <w:pPr>
        <w:pStyle w:val="Standard"/>
        <w:jc w:val="both"/>
        <w:rPr/>
      </w:pPr>
      <w:r>
        <w:rPr/>
        <w:t>5. The format should support finer domain definitions for some domains, in the same file as coarser domains, as long as there is no overlap between domains in the same file.</w:t>
      </w:r>
    </w:p>
    <w:p>
      <w:pPr>
        <w:pStyle w:val="Standard"/>
        <w:jc w:val="both"/>
        <w:rPr/>
      </w:pPr>
      <w:r>
        <w:rPr/>
      </w:r>
    </w:p>
    <w:p>
      <w:pPr>
        <w:pStyle w:val="Standard"/>
        <w:jc w:val="both"/>
        <w:rPr/>
      </w:pPr>
      <w:r>
        <w:rPr/>
        <w:t xml:space="preserve"> </w:t>
      </w:r>
      <w:r>
        <w:rPr/>
        <w:t>E.g. Some domains may be specified by Area and month, and some by Area and Quarter, but all domains specified by month are from different quarters the those specified by Quarter. Similarly, some domains may be specified by SubArea, and others by Division or SubDivision. The latter example may apply within a specific country for the same catch category.</w:t>
      </w:r>
    </w:p>
    <w:p>
      <w:pPr>
        <w:pStyle w:val="Standard"/>
        <w:rPr/>
      </w:pPr>
      <w:r>
        <w:rPr/>
      </w:r>
    </w:p>
    <w:p>
      <w:pPr>
        <w:pStyle w:val="Standard"/>
        <w:rPr/>
      </w:pPr>
      <w:r>
        <w:rPr/>
        <w:t>6. The format should facilitate sum-of-product checks of the kinds performed in InterCatch today.</w:t>
      </w:r>
    </w:p>
    <w:p>
      <w:pPr>
        <w:pStyle w:val="Standard"/>
        <w:rPr/>
      </w:pPr>
      <w:r>
        <w:rPr/>
      </w:r>
    </w:p>
    <w:p>
      <w:pPr>
        <w:pStyle w:val="Standard"/>
        <w:jc w:val="both"/>
        <w:rPr/>
      </w:pPr>
      <w:r>
        <w:rPr/>
        <w:t>If domains can be combined into clearly identified domains of the census data, one can estimate these known total landings by the sum of the product of mean weight and total number of fishes in each domain (incorporating variables such as age-group or length group into the domain definition).</w:t>
      </w:r>
    </w:p>
    <w:p>
      <w:pPr>
        <w:pStyle w:val="Standard"/>
        <w:rPr/>
      </w:pPr>
      <w:r>
        <w:rPr/>
      </w:r>
    </w:p>
    <w:p>
      <w:pPr>
        <w:pStyle w:val="Standard"/>
        <w:jc w:val="both"/>
        <w:rPr/>
      </w:pPr>
      <w:r>
        <w:rPr/>
        <w:t>7. The format should have clear declaration of the population that reported catch and effort is completely recorded for.</w:t>
      </w:r>
    </w:p>
    <w:p>
      <w:pPr>
        <w:pStyle w:val="Standard"/>
        <w:rPr/>
      </w:pPr>
      <w:r>
        <w:rPr/>
      </w:r>
    </w:p>
    <w:p>
      <w:pPr>
        <w:pStyle w:val="Standard"/>
        <w:jc w:val="both"/>
        <w:rPr/>
      </w:pPr>
      <w:r>
        <w:rPr/>
        <w:t>For instance, a missing catchCategory for a species may be interpreted as “not reported” or “0”. Experience with InterCatch shows that guidelines are not always followed in this regard, and the status of missing data is hard to check for.</w:t>
      </w:r>
    </w:p>
    <w:p>
      <w:pPr>
        <w:pStyle w:val="Standard"/>
        <w:rPr/>
      </w:pPr>
      <w:r>
        <w:rPr/>
      </w:r>
    </w:p>
    <w:p>
      <w:pPr>
        <w:pStyle w:val="Standard"/>
        <w:jc w:val="both"/>
        <w:rPr/>
      </w:pPr>
      <w:r>
        <w:rPr/>
        <w:t>8. The format must support defining domains, and report means, for age or various kinds of length measurements (total length, carapace length, etc.)</w:t>
      </w:r>
    </w:p>
    <w:p>
      <w:pPr>
        <w:pStyle w:val="Standard"/>
        <w:rPr/>
      </w:pPr>
      <w:r>
        <w:rPr/>
      </w:r>
    </w:p>
    <w:p>
      <w:pPr>
        <w:pStyle w:val="Standard"/>
        <w:jc w:val="both"/>
        <w:rPr/>
      </w:pPr>
      <w:r>
        <w:rPr/>
        <w:t>Ideally the format should support defining domains, and reporting means, for all kinds of measurements, but if requirement 4 is met (extensibility of format), additional measurements may be added as they are needed. But heterogeneity in length measurement types must be supported for already established use.</w:t>
      </w:r>
    </w:p>
    <w:p>
      <w:pPr>
        <w:pStyle w:val="Titre1"/>
        <w:rPr/>
      </w:pPr>
      <w:r>
        <w:rPr/>
        <w:t>Draft proposal for RCEF</w:t>
      </w:r>
    </w:p>
    <w:p>
      <w:pPr>
        <w:pStyle w:val="Textbody"/>
        <w:jc w:val="both"/>
        <w:rPr/>
      </w:pPr>
      <w:r>
        <w:rPr/>
        <w:t xml:space="preserve">The product of a national or regional estimate is some statistic reported for a well-defined population that is partitioned into domains, and some aggregation of census data similarly partitioned into domains. We would like to define a format that allows great flexibility in defining such domains for all kinds of estimates that can be produced from RDBES data, while being compatible with InterCatch. Thus, we want a format that generalizes upon ICEF. The domain of a fishery is often referred in terms of the domains that partition the population of catches by the activity leading to catch (e.g. time and place for catch, and the gear used to obtain catch). From an estimation point of view, the discrete variables used to partition the population of catches based on biological parameters (age, length-groups, etc.) can also be considered part of the domain. We will refer to these as </w:t>
      </w:r>
      <w:r>
        <w:rPr>
          <w:rStyle w:val="Policepardfaut"/>
          <w:i/>
          <w:iCs/>
        </w:rPr>
        <w:t>activity domains</w:t>
      </w:r>
      <w:r>
        <w:rPr/>
        <w:t xml:space="preserve"> and </w:t>
      </w:r>
      <w:r>
        <w:rPr>
          <w:rStyle w:val="Policepardfaut"/>
          <w:i/>
          <w:iCs/>
        </w:rPr>
        <w:t>fish domains</w:t>
      </w:r>
      <w:r>
        <w:rPr/>
        <w:t>, respectively.</w:t>
      </w:r>
    </w:p>
    <w:p>
      <w:pPr>
        <w:pStyle w:val="Textbody"/>
        <w:rPr>
          <w:b/>
          <w:b/>
          <w:bCs/>
        </w:rPr>
      </w:pPr>
      <w:r>
        <w:rPr>
          <w:b/>
          <w:bCs/>
        </w:rPr>
        <w:t>Tables</w:t>
      </w:r>
    </w:p>
    <w:p>
      <w:pPr>
        <w:pStyle w:val="Textbody"/>
        <w:rPr/>
      </w:pPr>
      <w:r>
        <w:rPr/>
        <w:t>We propose the following tables for RCEF:</w:t>
      </w:r>
    </w:p>
    <w:p>
      <w:pPr>
        <w:pStyle w:val="Textbody"/>
        <w:numPr>
          <w:ilvl w:val="0"/>
          <w:numId w:val="2"/>
        </w:numPr>
        <w:rPr/>
      </w:pPr>
      <w:r>
        <w:rPr/>
        <w:t>EFFORT: Provide total effort similar to ICEF HI records.</w:t>
      </w:r>
    </w:p>
    <w:p>
      <w:pPr>
        <w:pStyle w:val="Textbody"/>
        <w:numPr>
          <w:ilvl w:val="0"/>
          <w:numId w:val="2"/>
        </w:numPr>
        <w:jc w:val="both"/>
        <w:rPr/>
      </w:pPr>
      <w:r>
        <w:rPr/>
        <w:t xml:space="preserve">CATCH: Provide total landings similar to ICEF SI records for catchCategory L,B,R and C when these follow from official records. In addition, CATCH will provide domain definitions for </w:t>
      </w:r>
      <w:r>
        <w:rPr>
          <w:rStyle w:val="Policepardfaut"/>
          <w:i/>
          <w:iCs/>
        </w:rPr>
        <w:t>activity domains.</w:t>
      </w:r>
    </w:p>
    <w:p>
      <w:pPr>
        <w:pStyle w:val="Textbody"/>
        <w:numPr>
          <w:ilvl w:val="0"/>
          <w:numId w:val="2"/>
        </w:numPr>
        <w:rPr/>
      </w:pPr>
      <w:r>
        <w:rPr/>
        <w:t xml:space="preserve">FISHDOMAINS: Provide definitions for </w:t>
      </w:r>
      <w:r>
        <w:rPr>
          <w:rStyle w:val="Policepardfaut"/>
          <w:i/>
          <w:iCs/>
        </w:rPr>
        <w:t>fish domains</w:t>
      </w:r>
      <w:r>
        <w:rPr/>
        <w:t>.</w:t>
      </w:r>
    </w:p>
    <w:p>
      <w:pPr>
        <w:pStyle w:val="Textbody"/>
        <w:numPr>
          <w:ilvl w:val="0"/>
          <w:numId w:val="2"/>
        </w:numPr>
        <w:jc w:val="both"/>
        <w:rPr/>
      </w:pPr>
      <w:r>
        <w:rPr/>
        <w:t>ESTIMATES: Provide estimates for each domain similar to ICEF SD records, and ICEF SI records for catchCategory D and C when these are indeed estimated.</w:t>
      </w:r>
    </w:p>
    <w:p>
      <w:pPr>
        <w:pStyle w:val="Textbody"/>
        <w:rPr>
          <w:b/>
          <w:b/>
          <w:bCs/>
        </w:rPr>
      </w:pPr>
      <w:r>
        <w:rPr>
          <w:b/>
          <w:bCs/>
        </w:rPr>
        <w:t>Field Types</w:t>
      </w:r>
    </w:p>
    <w:p>
      <w:pPr>
        <w:pStyle w:val="Textbody"/>
        <w:rPr/>
      </w:pPr>
      <w:r>
        <w:rPr/>
        <w:t>We proposed that fields can have the following mandatory status:</w:t>
      </w:r>
    </w:p>
    <w:p>
      <w:pPr>
        <w:pStyle w:val="Textbody"/>
        <w:numPr>
          <w:ilvl w:val="0"/>
          <w:numId w:val="3"/>
        </w:numPr>
        <w:rPr/>
      </w:pPr>
      <w:r>
        <w:rPr/>
        <w:t>Mandatory (M): Field must be present and have a value for records</w:t>
      </w:r>
    </w:p>
    <w:p>
      <w:pPr>
        <w:pStyle w:val="Textbody"/>
        <w:numPr>
          <w:ilvl w:val="0"/>
          <w:numId w:val="3"/>
        </w:numPr>
        <w:rPr/>
      </w:pPr>
      <w:r>
        <w:rPr/>
        <w:t>Optionally present (P): Field may have missing values, only if they have missing value for every record in a population. If they have a value for one record in a population, they must have for every record in that population</w:t>
      </w:r>
    </w:p>
    <w:p>
      <w:pPr>
        <w:pStyle w:val="Textbody"/>
        <w:numPr>
          <w:ilvl w:val="0"/>
          <w:numId w:val="3"/>
        </w:numPr>
        <w:rPr/>
      </w:pPr>
      <w:r>
        <w:rPr/>
        <w:t>Optional (O): Field may have missing values.</w:t>
      </w:r>
    </w:p>
    <w:p>
      <w:pPr>
        <w:pStyle w:val="Textbody"/>
        <w:rPr/>
      </w:pPr>
      <w:r>
        <w:rPr/>
        <w:t>We will discuss fields that have the following types:</w:t>
      </w:r>
    </w:p>
    <w:p>
      <w:pPr>
        <w:pStyle w:val="Textbody"/>
        <w:numPr>
          <w:ilvl w:val="0"/>
          <w:numId w:val="4"/>
        </w:numPr>
        <w:jc w:val="both"/>
        <w:rPr/>
      </w:pPr>
      <w:r>
        <w:rPr/>
        <w:t>Frame Field: Fields that define the sampling frame that estimates are provided for (count year, etc.). These must all have mandatory status M, so that it is possible to evaluate overlap when combining and aggregating data.</w:t>
      </w:r>
    </w:p>
    <w:p>
      <w:pPr>
        <w:pStyle w:val="Textbody"/>
        <w:numPr>
          <w:ilvl w:val="0"/>
          <w:numId w:val="4"/>
        </w:numPr>
        <w:jc w:val="both"/>
        <w:rPr/>
      </w:pPr>
      <w:r>
        <w:rPr/>
        <w:t>Activity domain fields: Fields that define an activity domain (gear, quarter, etc.). These must all have mandatory status M or optionally present status P (see discussion on extensible format)</w:t>
      </w:r>
    </w:p>
    <w:p>
      <w:pPr>
        <w:pStyle w:val="Textbody"/>
        <w:numPr>
          <w:ilvl w:val="0"/>
          <w:numId w:val="4"/>
        </w:numPr>
        <w:jc w:val="both"/>
        <w:rPr/>
      </w:pPr>
      <w:r>
        <w:rPr/>
        <w:t>Fish domain fields: fields that define a fish domain (age, length, etc.). These must all have mandatory status M or optionally present status P (see discussion on extensible format)</w:t>
      </w:r>
    </w:p>
    <w:p>
      <w:pPr>
        <w:pStyle w:val="Textbody"/>
        <w:numPr>
          <w:ilvl w:val="0"/>
          <w:numId w:val="4"/>
        </w:numPr>
        <w:jc w:val="both"/>
        <w:rPr/>
      </w:pPr>
      <w:r>
        <w:rPr/>
        <w:t>Identifier field: fields that identify a domain (Age group, gear group, etc.). These must all have mandatory status M in order to ensure that all estimates are linked to a domain, and that all landings are mapped to a domain.</w:t>
      </w:r>
    </w:p>
    <w:p>
      <w:pPr>
        <w:pStyle w:val="Textbody"/>
        <w:numPr>
          <w:ilvl w:val="0"/>
          <w:numId w:val="4"/>
        </w:numPr>
        <w:jc w:val="both"/>
        <w:rPr/>
      </w:pPr>
      <w:r>
        <w:rPr/>
        <w:t>Variable field: Fields that define a variable on the estimates table (length, weight, etc.). These have mandatory status M, since the variable must be identified for an estimate to make sense.</w:t>
      </w:r>
    </w:p>
    <w:p>
      <w:pPr>
        <w:pStyle w:val="Textbody"/>
        <w:numPr>
          <w:ilvl w:val="0"/>
          <w:numId w:val="4"/>
        </w:numPr>
        <w:rPr/>
      </w:pPr>
      <w:r>
        <w:rPr/>
        <w:t>Value fields: Fields that hold a value for a variable in a domain (mean total, variance, etc.). These are typically optional.</w:t>
      </w:r>
    </w:p>
    <w:p>
      <w:pPr>
        <w:pStyle w:val="Textbody"/>
        <w:jc w:val="both"/>
        <w:rPr/>
      </w:pPr>
      <w:r>
        <w:rPr/>
        <w:t>The Identifier fields are not be controlled by a code-list, but are defined by estimators in order to capture the domains that are requested, and correctly link them to estimates. Similarly, to how stratification is encoded in the RDBES CS tables, the user (national estimator) defines the domains and is responsible for consistent usage of identifiers. But since the frame and domain fields are controlled vocabularies, the custom domain identifiers are well defined and can be subject to more extensive checking than the stratification fields in CS.</w:t>
      </w:r>
    </w:p>
    <w:p>
      <w:pPr>
        <w:pStyle w:val="Textbody"/>
        <w:jc w:val="both"/>
        <w:rPr/>
      </w:pPr>
      <w:r>
        <w:rPr/>
        <w:t>Identifier fields convey how a domain is defined. They serve as value fields in CATCH and FISHDOMAIN and as domain fields in ESTIMATES, and this provide the link between ESTIMATES to CATCH and FISHDOMAINS. This will ensure that we can identify which total catch relates to which estimates, and that we can compare the domain definition between different estimates, even if they have used customized names for domains. This in turn makes sure we can aggregate and combine custom domain definitions.</w:t>
      </w:r>
    </w:p>
    <w:p>
      <w:pPr>
        <w:pStyle w:val="Textbody"/>
        <w:jc w:val="both"/>
        <w:rPr/>
      </w:pPr>
      <w:r>
        <w:rPr/>
        <w:t xml:space="preserve">Thus, the same values for </w:t>
      </w:r>
      <w:r>
        <w:rPr>
          <w:rStyle w:val="Policepardfaut"/>
          <w:i/>
          <w:iCs/>
        </w:rPr>
        <w:t>Identifier fields</w:t>
      </w:r>
      <w:r>
        <w:rPr/>
        <w:t xml:space="preserve"> may be repeated on many records in the tables defining domains (CATCH and FISHDOMAIN), but are part of identifying the records in the tables that reports by domain (ESTIMATES). A record is uniquely identified in each table by:</w:t>
      </w:r>
    </w:p>
    <w:p>
      <w:pPr>
        <w:pStyle w:val="Textbody"/>
        <w:rPr/>
      </w:pPr>
      <w:r>
        <w:rPr/>
        <w:t xml:space="preserve">EFFORT: all </w:t>
      </w:r>
      <w:r>
        <w:rPr>
          <w:rStyle w:val="Policepardfaut"/>
          <w:i/>
          <w:iCs/>
        </w:rPr>
        <w:t>frame fields</w:t>
      </w:r>
      <w:r>
        <w:rPr/>
        <w:t xml:space="preserve"> and </w:t>
      </w:r>
      <w:r>
        <w:rPr>
          <w:rStyle w:val="Policepardfaut"/>
          <w:i/>
          <w:iCs/>
        </w:rPr>
        <w:t>activity domain fields</w:t>
      </w:r>
    </w:p>
    <w:p>
      <w:pPr>
        <w:pStyle w:val="Textbody"/>
        <w:rPr/>
      </w:pPr>
      <w:r>
        <w:rPr/>
        <w:t xml:space="preserve">CATCH: all </w:t>
      </w:r>
      <w:r>
        <w:rPr>
          <w:rStyle w:val="Policepardfaut"/>
          <w:i/>
          <w:iCs/>
        </w:rPr>
        <w:t>frame fields</w:t>
      </w:r>
      <w:r>
        <w:rPr/>
        <w:t xml:space="preserve"> and </w:t>
      </w:r>
      <w:r>
        <w:rPr>
          <w:rStyle w:val="Policepardfaut"/>
          <w:i/>
          <w:iCs/>
        </w:rPr>
        <w:t>activity domain fields</w:t>
      </w:r>
    </w:p>
    <w:p>
      <w:pPr>
        <w:pStyle w:val="Textbody"/>
        <w:rPr/>
      </w:pPr>
      <w:r>
        <w:rPr/>
        <w:t xml:space="preserve">FISHDOMAIN: all </w:t>
      </w:r>
      <w:r>
        <w:rPr>
          <w:rStyle w:val="Policepardfaut"/>
          <w:i/>
          <w:iCs/>
        </w:rPr>
        <w:t>frame fields</w:t>
      </w:r>
      <w:r>
        <w:rPr/>
        <w:t xml:space="preserve"> and </w:t>
      </w:r>
      <w:r>
        <w:rPr>
          <w:rStyle w:val="Policepardfaut"/>
          <w:i/>
          <w:iCs/>
        </w:rPr>
        <w:t>fish domain fields</w:t>
      </w:r>
    </w:p>
    <w:p>
      <w:pPr>
        <w:pStyle w:val="Textbody"/>
        <w:rPr/>
      </w:pPr>
      <w:r>
        <w:rPr/>
        <w:t xml:space="preserve">ESTIMATES: all </w:t>
      </w:r>
      <w:r>
        <w:rPr>
          <w:rStyle w:val="Policepardfaut"/>
          <w:i/>
          <w:iCs/>
        </w:rPr>
        <w:t>frame fields,</w:t>
      </w:r>
      <w:r>
        <w:rPr/>
        <w:t xml:space="preserve"> </w:t>
      </w:r>
      <w:r>
        <w:rPr>
          <w:rStyle w:val="Policepardfaut"/>
          <w:i/>
          <w:iCs/>
        </w:rPr>
        <w:t>identifier fields</w:t>
      </w:r>
      <w:r>
        <w:rPr/>
        <w:t xml:space="preserve"> and </w:t>
      </w:r>
      <w:r>
        <w:rPr>
          <w:rStyle w:val="Policepardfaut"/>
          <w:i/>
          <w:iCs/>
        </w:rPr>
        <w:t>variable fields</w:t>
      </w:r>
      <w:r>
        <w:rPr/>
        <w:t>.</w:t>
      </w:r>
    </w:p>
    <w:p>
      <w:pPr>
        <w:pStyle w:val="Textbody"/>
        <w:jc w:val="both"/>
        <w:rPr/>
      </w:pPr>
      <w:r>
        <w:rPr/>
        <w:t>All Identifier fields on ESTIMATES must also exist on CATCH and FISHDOMAIN, but it is not necessary that estimates are provided for all the domains that are defined.</w:t>
      </w:r>
    </w:p>
    <w:p>
      <w:pPr>
        <w:pStyle w:val="Textbody"/>
        <w:rPr>
          <w:b/>
          <w:b/>
          <w:bCs/>
        </w:rPr>
      </w:pPr>
      <w:r>
        <w:rPr>
          <w:b/>
          <w:bCs/>
        </w:rPr>
        <w:t>Extensible format</w:t>
      </w:r>
    </w:p>
    <w:p>
      <w:pPr>
        <w:pStyle w:val="Textbody"/>
        <w:jc w:val="both"/>
        <w:rPr/>
      </w:pPr>
      <w:r>
        <w:rPr/>
        <w:t>We want it to be possible to revise the format and add domain fields (Activity domain fields or Fish domain fields) to each of these tables, without causing older data files to become invalid in the revised format. We would not like the same kind of flexibility for the frame fields, since we want it to be possible to check submissions for completeness, and to infer how different data sources complement each other with respect to the complete sampling frame. Therefore, both these fields and their code-lists should not be extensible. Backwards compatibility in this sense can be achieved as long as new fields are optional, and that their values cannot change the meaning of other fields. Then new fields can be considered as implicitly encoded with missing values in old data files. We suggest that backwards compatibility can be facilitated by the following rules:</w:t>
      </w:r>
    </w:p>
    <w:p>
      <w:pPr>
        <w:pStyle w:val="Textbody"/>
        <w:numPr>
          <w:ilvl w:val="0"/>
          <w:numId w:val="5"/>
        </w:numPr>
        <w:rPr/>
      </w:pPr>
      <w:r>
        <w:rPr/>
        <w:t>Frame fields or their code lists may not be added to the format without breaking backwards compatibility.</w:t>
      </w:r>
    </w:p>
    <w:p>
      <w:pPr>
        <w:pStyle w:val="Textbody"/>
        <w:numPr>
          <w:ilvl w:val="0"/>
          <w:numId w:val="5"/>
        </w:numPr>
        <w:jc w:val="both"/>
        <w:rPr/>
      </w:pPr>
      <w:r>
        <w:rPr/>
        <w:t>Any field whose interpretation depends on the value of other fields (and any field that the interpretation of other fields depend on), must have mandatory status M, so that they always occur together.</w:t>
      </w:r>
    </w:p>
    <w:p>
      <w:pPr>
        <w:pStyle w:val="Textbody"/>
        <w:numPr>
          <w:ilvl w:val="0"/>
          <w:numId w:val="5"/>
        </w:numPr>
        <w:jc w:val="both"/>
        <w:rPr/>
      </w:pPr>
      <w:r>
        <w:rPr/>
        <w:t>Any domain field added to the format must not affect the interpretation of the values in another domain or frame field. This implies that all new domain fields must have mandatory status P</w:t>
      </w:r>
      <w:r>
        <w:rPr>
          <w:rStyle w:val="Fotnoteanker"/>
        </w:rPr>
        <w:footnoteReference w:id="2"/>
      </w:r>
      <w:r>
        <w:rPr/>
        <w:t>, (not M or O).</w:t>
      </w:r>
    </w:p>
    <w:p>
      <w:pPr>
        <w:pStyle w:val="Textbody"/>
        <w:numPr>
          <w:ilvl w:val="0"/>
          <w:numId w:val="5"/>
        </w:numPr>
        <w:rPr/>
      </w:pPr>
      <w:r>
        <w:rPr/>
        <w:t>Fields with mandatory status O or P are interpreted as missing for all records if they are not present in a file.</w:t>
      </w:r>
    </w:p>
    <w:p>
      <w:pPr>
        <w:pStyle w:val="Textbody"/>
        <w:rPr/>
      </w:pPr>
      <w:r>
        <w:rPr/>
        <w:t>In practice, this means that exchange files need a named representation of fields: e.g. a csv file with headers.</w:t>
      </w:r>
    </w:p>
    <w:p>
      <w:pPr>
        <w:pStyle w:val="Textbody"/>
        <w:rPr/>
      </w:pPr>
      <w:r>
        <w:rPr/>
        <w:t>Rule 4 also allows us to define a large vocabulary, without burdening data providers with unnecessary columns for their particular use. It allows us to start with a minimal set of fields, and extend upon that when new requirements arise. This is very similar to how we deal with code-lists, which can be extended without revising field definitions. We will therefore refer to the fields we suggest for each of the four tables in the format as “starting vocabularies”.</w:t>
      </w:r>
    </w:p>
    <w:p>
      <w:pPr>
        <w:pStyle w:val="Textbody"/>
        <w:jc w:val="both"/>
        <w:rPr/>
      </w:pPr>
      <w:r>
        <w:rPr/>
        <w:t>We believe the rules listed above are sufficient to ensure that additions of domain fields are backwards compatible. However, we do not imply that non-backwards compatible changes should never be introduced.</w:t>
      </w:r>
    </w:p>
    <w:p>
      <w:pPr>
        <w:pStyle w:val="Textbody"/>
        <w:rPr>
          <w:b/>
          <w:b/>
          <w:bCs/>
        </w:rPr>
      </w:pPr>
      <w:r>
        <w:rPr>
          <w:b/>
          <w:bCs/>
        </w:rPr>
        <w:t>Interoperable format definitions</w:t>
      </w:r>
    </w:p>
    <w:p>
      <w:pPr>
        <w:pStyle w:val="Textbody"/>
        <w:jc w:val="both"/>
        <w:rPr/>
      </w:pPr>
      <w:r>
        <w:rPr/>
        <w:t>We will re-use definitions from the following formats which we need to be consistent with for reasons of interoperability:</w:t>
      </w:r>
    </w:p>
    <w:p>
      <w:pPr>
        <w:pStyle w:val="Textbody"/>
        <w:rPr/>
      </w:pPr>
      <w:r>
        <w:rPr/>
        <w:t xml:space="preserve">ICEF: </w:t>
      </w:r>
      <w:hyperlink r:id="rId4">
        <w:r>
          <w:rPr/>
          <w:t>https://www.ices.dk/data/Documents/InterCatch/IC-ExchangeFormat1-0.pdf</w:t>
        </w:r>
      </w:hyperlink>
    </w:p>
    <w:p>
      <w:pPr>
        <w:pStyle w:val="Textbody"/>
        <w:rPr/>
      </w:pPr>
      <w:r>
        <w:rPr/>
        <w:t xml:space="preserve">CE and CL table: </w:t>
      </w:r>
      <w:hyperlink r:id="rId5">
        <w:r>
          <w:rPr/>
          <w:t>https://github.com/ices-tools-dev/RDBES/tree/master/Documents</w:t>
        </w:r>
      </w:hyperlink>
    </w:p>
    <w:p>
      <w:pPr>
        <w:pStyle w:val="Textbody"/>
        <w:rPr/>
      </w:pPr>
      <w:r>
        <w:rPr/>
        <w:t xml:space="preserve">BiologicalMeasurements: </w:t>
      </w:r>
      <w:hyperlink r:id="rId6">
        <w:r>
          <w:rPr/>
          <w:t>https://vocab.ices.dk/?ref=1606</w:t>
        </w:r>
      </w:hyperlink>
    </w:p>
    <w:p>
      <w:pPr>
        <w:pStyle w:val="Titre2"/>
        <w:rPr/>
      </w:pPr>
      <w:r>
        <w:rPr/>
        <w:t>Starting vocabulary for ESTIMATES</w:t>
      </w:r>
    </w:p>
    <w:p>
      <w:pPr>
        <w:pStyle w:val="Textbody"/>
        <w:jc w:val="both"/>
        <w:rPr/>
      </w:pPr>
      <w:r>
        <w:rPr/>
        <w:t>Estimates are either an estimate of an abundance (total or mean number of individuals in domain), or estimates of a total or mean of some numeric variable observed in a sample of fish. With each of these, it may also be associated a measure of uncertainty, e.g. variance.</w:t>
      </w:r>
    </w:p>
    <w:p>
      <w:pPr>
        <w:pStyle w:val="Textbody"/>
        <w:jc w:val="both"/>
        <w:rPr/>
      </w:pPr>
      <w:r>
        <w:rPr/>
        <w:t xml:space="preserve">Standard estimation routines are the same for all these variables, both in estimating them, and in further processing. Abundance is also very much like a variable, except it has a defined mean when there are no fish in a domain. We will make use of this generality and introduce generic value fields (total, mean, varianceTotal and varianceMean). In addition, we included in the Table 1 below the fields necessary to identify the sampling frame and domains, and a field identifying the variable that the estimates are made for. We will also introduce some sample description fields, which we will formulate to be compatible with InterCatch. </w:t>
      </w:r>
    </w:p>
    <w:p>
      <w:pPr>
        <w:pStyle w:val="Textbody"/>
        <w:jc w:val="both"/>
        <w:rPr/>
      </w:pPr>
      <w:r>
        <w:rPr/>
        <w:t>Note that speciesCode is associated with a frequently updated code-list. These challenges backwards compatibility in that the code list for frame field changes. See discussion about derived code-lists below.</w:t>
      </w:r>
    </w:p>
    <w:p>
      <w:pPr>
        <w:pStyle w:val="Textbody"/>
        <w:rPr/>
      </w:pPr>
      <w:r>
        <w:rPr/>
        <w:t>Note that the abstraction of variables into the field ‘variable’ allows estimates to be provided for any kind of length measurement (Total length, carapace length, etc.).</w:t>
      </w:r>
    </w:p>
    <w:p>
      <w:pPr>
        <w:pStyle w:val="Textbody"/>
        <w:jc w:val="both"/>
        <w:rPr/>
      </w:pPr>
      <w:r>
        <w:rPr/>
        <w:t>Note that NumSamples can represent NumSamplesLngt from ICEF if ‘variable’ is a Length measure, and NumSamplesAge if ‘variable is an Age measure. Similarly, NumMeas can represent either NumLngtMeas and NumAgeMeas in ICEF. However, we sacrificed the ability to provide both the numbers of length and age measurements for one domain.</w:t>
      </w:r>
    </w:p>
    <w:p>
      <w:pPr>
        <w:pStyle w:val="Textbody"/>
        <w:jc w:val="both"/>
        <w:rPr/>
      </w:pPr>
      <w:r>
        <w:rPr/>
        <w:t>In addition to the sample descriptors in InterCatch, we have added the number of PSUs, which is the most conservative sample size quantity for probabilistic sampling.</w:t>
      </w:r>
      <w:r>
        <w:br w:type="page"/>
      </w:r>
    </w:p>
    <w:p>
      <w:pPr>
        <w:pStyle w:val="Normal"/>
        <w:rPr/>
      </w:pPr>
      <w:r>
        <w:rPr/>
      </w:r>
    </w:p>
    <w:p>
      <w:pPr>
        <w:pStyle w:val="Normal"/>
        <w:spacing w:before="0" w:after="120"/>
        <w:rPr/>
      </w:pPr>
      <w:r>
        <w:rPr>
          <w:rStyle w:val="Policepardfaut"/>
          <w:rFonts w:cs="Calibri" w:ascii="Calibri" w:hAnsi="Calibri"/>
          <w:b/>
          <w:sz w:val="17"/>
          <w:szCs w:val="17"/>
        </w:rPr>
        <w:t>Table 1. ESTIMATES.</w:t>
      </w:r>
    </w:p>
    <w:tbl>
      <w:tblPr>
        <w:tblW w:w="9781"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1560"/>
        <w:gridCol w:w="1983"/>
        <w:gridCol w:w="5247"/>
        <w:gridCol w:w="990"/>
      </w:tblGrid>
      <w:tr>
        <w:trPr/>
        <w:tc>
          <w:tcPr>
            <w:tcW w:w="1560"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FieldType</w:t>
            </w:r>
          </w:p>
        </w:tc>
        <w:tc>
          <w:tcPr>
            <w:tcW w:w="1983"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Name</w:t>
            </w:r>
          </w:p>
        </w:tc>
        <w:tc>
          <w:tcPr>
            <w:tcW w:w="5247"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Description</w:t>
            </w:r>
          </w:p>
        </w:tc>
        <w:tc>
          <w:tcPr>
            <w:tcW w:w="990" w:type="dxa"/>
            <w:tcBorders>
              <w:top w:val="single" w:sz="4" w:space="0" w:color="000000"/>
              <w:bottom w:val="single" w:sz="4" w:space="0" w:color="000000"/>
            </w:tcBorders>
            <w:shd w:color="auto" w:fill="92D050" w:val="clear"/>
            <w:vAlign w:val="center"/>
          </w:tcPr>
          <w:p>
            <w:pPr>
              <w:pStyle w:val="Tabellinnhold"/>
              <w:widowControl w:val="false"/>
              <w:jc w:val="center"/>
              <w:rPr/>
            </w:pPr>
            <w:r>
              <w:rPr>
                <w:rStyle w:val="Policepardfaut"/>
                <w:rFonts w:cs="Calibri" w:ascii="Calibri" w:hAnsi="Calibri"/>
                <w:b/>
                <w:sz w:val="22"/>
                <w:szCs w:val="22"/>
              </w:rPr>
              <w:t>Status</w:t>
            </w:r>
          </w:p>
        </w:tc>
      </w:tr>
      <w:tr>
        <w:trPr/>
        <w:tc>
          <w:tcPr>
            <w:tcW w:w="1560" w:type="dxa"/>
            <w:tcBorders>
              <w:top w:val="single" w:sz="4" w:space="0" w:color="000000"/>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Frame field</w:t>
            </w:r>
          </w:p>
        </w:tc>
        <w:tc>
          <w:tcPr>
            <w:tcW w:w="1983" w:type="dxa"/>
            <w:tcBorders>
              <w:top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ReportingCategory</w:t>
            </w:r>
          </w:p>
        </w:tc>
        <w:tc>
          <w:tcPr>
            <w:tcW w:w="5247" w:type="dxa"/>
            <w:tcBorders>
              <w:top w:val="single" w:sz="4" w:space="0" w:color="000000"/>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As in InterCatch</w:t>
            </w:r>
          </w:p>
        </w:tc>
        <w:tc>
          <w:tcPr>
            <w:tcW w:w="990" w:type="dxa"/>
            <w:tcBorders>
              <w:top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Frame field</w:t>
            </w:r>
          </w:p>
        </w:tc>
        <w:tc>
          <w:tcPr>
            <w:tcW w:w="1983"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vesselFlagCountry</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As in CL</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Frame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year</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As in CL</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Frame field</w:t>
            </w:r>
          </w:p>
        </w:tc>
        <w:tc>
          <w:tcPr>
            <w:tcW w:w="1983"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speciesCode</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As in CL</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Frame field</w:t>
            </w:r>
          </w:p>
        </w:tc>
        <w:tc>
          <w:tcPr>
            <w:tcW w:w="1983"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catchCategory</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As in CL</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Identifier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activityDomain</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Activity domain, as in the table CATCH</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Identifier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fishDomain</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Fish domain, as in table FISHDOMAINS</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Variable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variable</w:t>
            </w:r>
          </w:p>
        </w:tc>
        <w:tc>
          <w:tcPr>
            <w:tcW w:w="5247" w:type="dxa"/>
            <w:tcBorders/>
            <w:shd w:color="auto" w:fill="auto" w:val="clear"/>
            <w:vAlign w:val="center"/>
          </w:tcPr>
          <w:p>
            <w:pPr>
              <w:pStyle w:val="Tabellinnhold"/>
              <w:widowControl w:val="false"/>
              <w:jc w:val="both"/>
              <w:rPr/>
            </w:pPr>
            <w:r>
              <w:rPr>
                <w:rStyle w:val="Policepardfaut"/>
                <w:rFonts w:cs="Calibri" w:ascii="Calibri" w:hAnsi="Calibri"/>
                <w:sz w:val="22"/>
                <w:szCs w:val="22"/>
              </w:rPr>
              <w:t>New code list with the values ‘Abundance’ and all numeric variables from BiologicalMeasurements (</w:t>
            </w:r>
            <w:hyperlink r:id="rId7">
              <w:r>
                <w:rPr>
                  <w:rStyle w:val="Policepardfaut"/>
                  <w:rFonts w:cs="Calibri" w:ascii="Calibri" w:hAnsi="Calibri"/>
                  <w:sz w:val="22"/>
                  <w:szCs w:val="22"/>
                </w:rPr>
                <w:t>https://vocab.ices.dk/?ref=1606</w:t>
              </w:r>
            </w:hyperlink>
            <w:r>
              <w:rPr>
                <w:rStyle w:val="Policepardfaut"/>
                <w:rFonts w:cs="Calibri" w:ascii="Calibri" w:hAnsi="Calibri"/>
                <w:sz w:val="22"/>
                <w:szCs w:val="22"/>
              </w:rPr>
              <w:t>)</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Value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total</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Estimated total of variable.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Value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mean</w:t>
            </w:r>
          </w:p>
        </w:tc>
        <w:tc>
          <w:tcPr>
            <w:tcW w:w="5247" w:type="dxa"/>
            <w:tcBorders/>
            <w:shd w:color="auto" w:fill="auto" w:val="clear"/>
            <w:vAlign w:val="center"/>
          </w:tcPr>
          <w:p>
            <w:pPr>
              <w:pStyle w:val="Tabellinnhold"/>
              <w:widowControl w:val="false"/>
              <w:jc w:val="both"/>
              <w:rPr/>
            </w:pPr>
            <w:r>
              <w:rPr>
                <w:rStyle w:val="Policepardfaut"/>
                <w:rFonts w:cs="Calibri" w:ascii="Calibri" w:hAnsi="Calibri"/>
                <w:sz w:val="22"/>
                <w:szCs w:val="22"/>
              </w:rPr>
              <w:t xml:space="preserve">Estimated </w:t>
            </w:r>
            <w:hyperlink r:id="rId8">
              <w:r>
                <w:rPr>
                  <w:rStyle w:val="Policepardfaut"/>
                  <w:rFonts w:cs="Calibri" w:ascii="Calibri" w:hAnsi="Calibri"/>
                  <w:sz w:val="22"/>
                  <w:szCs w:val="22"/>
                </w:rPr>
                <w:t>m</w:t>
              </w:r>
            </w:hyperlink>
            <w:r>
              <w:rPr>
                <w:rStyle w:val="Policepardfaut"/>
                <w:rFonts w:cs="Calibri" w:ascii="Calibri" w:hAnsi="Calibri"/>
                <w:sz w:val="22"/>
                <w:szCs w:val="22"/>
              </w:rPr>
              <w:t>ean of variable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Value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varianceTotal</w:t>
            </w:r>
          </w:p>
        </w:tc>
        <w:tc>
          <w:tcPr>
            <w:tcW w:w="5247" w:type="dxa"/>
            <w:tcBorders/>
            <w:shd w:color="auto" w:fill="auto" w:val="clear"/>
            <w:vAlign w:val="center"/>
          </w:tcPr>
          <w:p>
            <w:pPr>
              <w:pStyle w:val="Tabellinnhold"/>
              <w:widowControl w:val="false"/>
              <w:jc w:val="both"/>
              <w:rPr/>
            </w:pPr>
            <w:r>
              <w:rPr>
                <w:rStyle w:val="Policepardfaut"/>
                <w:rFonts w:cs="Calibri" w:ascii="Calibri" w:hAnsi="Calibri"/>
                <w:sz w:val="22"/>
                <w:szCs w:val="22"/>
              </w:rPr>
              <w:t xml:space="preserve">Estimated variance </w:t>
            </w:r>
            <w:hyperlink r:id="rId9">
              <w:r>
                <w:rPr>
                  <w:rStyle w:val="Policepardfaut"/>
                  <w:rFonts w:cs="Calibri" w:ascii="Calibri" w:hAnsi="Calibri"/>
                  <w:sz w:val="22"/>
                  <w:szCs w:val="22"/>
                </w:rPr>
                <w:t>o</w:t>
              </w:r>
            </w:hyperlink>
            <w:r>
              <w:rPr>
                <w:rStyle w:val="Policepardfaut"/>
                <w:rFonts w:cs="Calibri" w:ascii="Calibri" w:hAnsi="Calibri"/>
                <w:sz w:val="22"/>
                <w:szCs w:val="22"/>
              </w:rPr>
              <w:t>f total estimate of variable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Value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varianceMean</w:t>
            </w:r>
          </w:p>
        </w:tc>
        <w:tc>
          <w:tcPr>
            <w:tcW w:w="5247" w:type="dxa"/>
            <w:tcBorders/>
            <w:shd w:color="auto" w:fill="auto" w:val="clear"/>
            <w:vAlign w:val="center"/>
          </w:tcPr>
          <w:p>
            <w:pPr>
              <w:pStyle w:val="Tabellinnhold"/>
              <w:widowControl w:val="false"/>
              <w:jc w:val="both"/>
              <w:rPr/>
            </w:pPr>
            <w:r>
              <w:rPr>
                <w:rStyle w:val="Policepardfaut"/>
                <w:rFonts w:cs="Calibri" w:ascii="Calibri" w:hAnsi="Calibri"/>
                <w:sz w:val="22"/>
                <w:szCs w:val="22"/>
              </w:rPr>
              <w:t xml:space="preserve">Estimated variance </w:t>
            </w:r>
            <w:hyperlink r:id="rId10">
              <w:r>
                <w:rPr>
                  <w:rStyle w:val="Policepardfaut"/>
                  <w:rFonts w:cs="Calibri" w:ascii="Calibri" w:hAnsi="Calibri"/>
                  <w:sz w:val="22"/>
                  <w:szCs w:val="22"/>
                </w:rPr>
                <w:t>o</w:t>
              </w:r>
            </w:hyperlink>
            <w:r>
              <w:rPr>
                <w:rStyle w:val="Policepardfaut"/>
                <w:rFonts w:cs="Calibri" w:ascii="Calibri" w:hAnsi="Calibri"/>
                <w:sz w:val="22"/>
                <w:szCs w:val="22"/>
              </w:rPr>
              <w:t>f total estimate of variable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Value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NumPSUs</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The number of primary sampling units supporting estimate of variable in domain.</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Value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NumSamples</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Total number of sample events (defined as in ICEF) supporting estimate of variable in domain</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Value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NumMeas</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Total number of observations supporting estimate of variable in domain</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156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Value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sampleCoverageKg</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The sampling coverage of the activity domain in kg (the catch in the domain, that had a nonzero probability of supporting the estimate of variable in domain). As SampledCatch in ICEF, when this is provided in kg or tonnes.</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1560"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Value field</w:t>
            </w:r>
          </w:p>
        </w:tc>
        <w:tc>
          <w:tcPr>
            <w:tcW w:w="1983"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sampleCoverageFraction</w:t>
            </w:r>
          </w:p>
        </w:tc>
        <w:tc>
          <w:tcPr>
            <w:tcW w:w="5247" w:type="dxa"/>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The sampling coverage of the activity domain as a weight fraction. As SampledCatch in ICEF, when this is provided in %.</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1560" w:type="dxa"/>
            <w:tcBorders>
              <w:bottom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Value field</w:t>
            </w:r>
          </w:p>
        </w:tc>
        <w:tc>
          <w:tcPr>
            <w:tcW w:w="1983" w:type="dxa"/>
            <w:tcBorders>
              <w:bottom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comment</w:t>
            </w:r>
          </w:p>
        </w:tc>
        <w:tc>
          <w:tcPr>
            <w:tcW w:w="5247" w:type="dxa"/>
            <w:tcBorders>
              <w:bottom w:val="single" w:sz="4" w:space="0" w:color="000000"/>
            </w:tcBorders>
            <w:shd w:color="auto" w:fill="auto" w:val="clear"/>
            <w:vAlign w:val="center"/>
          </w:tcPr>
          <w:p>
            <w:pPr>
              <w:pStyle w:val="Tabellinnhold"/>
              <w:widowControl w:val="false"/>
              <w:jc w:val="both"/>
              <w:rPr>
                <w:rFonts w:ascii="Calibri" w:hAnsi="Calibri" w:cs="Calibri"/>
                <w:sz w:val="22"/>
                <w:szCs w:val="22"/>
              </w:rPr>
            </w:pPr>
            <w:r>
              <w:rPr>
                <w:rFonts w:cs="Calibri" w:ascii="Calibri" w:hAnsi="Calibri"/>
                <w:sz w:val="22"/>
                <w:szCs w:val="22"/>
              </w:rPr>
              <w:t>Comment field that may be used to convey information from ICEF ‘InfoFleet’, ‘InfoStockCoordinator’, and ‘InfoGeneral’</w:t>
            </w:r>
          </w:p>
        </w:tc>
        <w:tc>
          <w:tcPr>
            <w:tcW w:w="990" w:type="dxa"/>
            <w:tcBorders>
              <w:bottom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bl>
    <w:p>
      <w:pPr>
        <w:pStyle w:val="Titre2"/>
        <w:rPr/>
      </w:pPr>
      <w:r>
        <w:rPr/>
        <w:t>Starting vocabulary for FISHDOMAINS</w:t>
      </w:r>
    </w:p>
    <w:p>
      <w:pPr>
        <w:pStyle w:val="Textbody"/>
        <w:jc w:val="both"/>
        <w:rPr/>
      </w:pPr>
      <w:r>
        <w:rPr/>
        <w:t>The only purpose of the FISHDOMAINS table is to identify the domains. Thus, it contains no value fields, only encodes what is meant by the field ‘fishDomain’ in ESTIMATES for a specific sampling frame.</w:t>
      </w:r>
    </w:p>
    <w:p>
      <w:pPr>
        <w:pStyle w:val="Textbody"/>
        <w:jc w:val="both"/>
        <w:rPr/>
      </w:pPr>
      <w:r>
        <w:rPr/>
        <w:t>In order to specify fish domains, these could define as a part of the vocabulary the list for BVtypeMeasured (</w:t>
      </w:r>
      <w:hyperlink r:id="rId11">
        <w:r>
          <w:rPr/>
          <w:t>https://vocab.ices.dk/?ref=1606</w:t>
        </w:r>
      </w:hyperlink>
      <w:r>
        <w:rPr/>
        <w:t>). Since all observations are made on an individual specimen, then these, in principle, can be used to form fish domains. However, it makes most immediate sense for variables that can be treated as discrete variables (Age, Sex, Maturity, Stock, etc). In order to support ranges of numeric variables (such as length or weight groups), we also included a variable (‘domainVariable’) along with some range limits (‘MinValue’ and ‘MaxValue’) (Table 2).</w:t>
      </w:r>
    </w:p>
    <w:p>
      <w:pPr>
        <w:pStyle w:val="Textbody"/>
        <w:spacing w:lineRule="auto" w:line="240" w:before="0" w:after="120"/>
        <w:jc w:val="both"/>
        <w:rPr/>
      </w:pPr>
      <w:r>
        <w:rPr>
          <w:rStyle w:val="Policepardfaut"/>
          <w:rFonts w:cs="Calibri" w:ascii="Calibri" w:hAnsi="Calibri"/>
          <w:b/>
          <w:sz w:val="17"/>
          <w:szCs w:val="17"/>
        </w:rPr>
        <w:t>Table 2. FISHDOMAINS.</w:t>
      </w:r>
    </w:p>
    <w:tbl>
      <w:tblPr>
        <w:tblW w:w="11056"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1950"/>
        <w:gridCol w:w="1877"/>
        <w:gridCol w:w="6378"/>
        <w:gridCol w:w="850"/>
      </w:tblGrid>
      <w:tr>
        <w:trPr/>
        <w:tc>
          <w:tcPr>
            <w:tcW w:w="1950"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Field type</w:t>
            </w:r>
          </w:p>
        </w:tc>
        <w:tc>
          <w:tcPr>
            <w:tcW w:w="1877"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Name</w:t>
            </w:r>
          </w:p>
        </w:tc>
        <w:tc>
          <w:tcPr>
            <w:tcW w:w="6378"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Description</w:t>
            </w:r>
          </w:p>
        </w:tc>
        <w:tc>
          <w:tcPr>
            <w:tcW w:w="850" w:type="dxa"/>
            <w:tcBorders>
              <w:top w:val="single" w:sz="4" w:space="0" w:color="000000"/>
              <w:bottom w:val="single" w:sz="4" w:space="0" w:color="000000"/>
            </w:tcBorders>
            <w:shd w:color="auto" w:fill="92D050" w:val="clear"/>
            <w:vAlign w:val="center"/>
          </w:tcPr>
          <w:p>
            <w:pPr>
              <w:pStyle w:val="Tabellinnhold"/>
              <w:widowControl w:val="false"/>
              <w:jc w:val="center"/>
              <w:rPr/>
            </w:pPr>
            <w:r>
              <w:rPr>
                <w:rStyle w:val="Policepardfaut"/>
                <w:rFonts w:cs="Calibri" w:ascii="Calibri" w:hAnsi="Calibri"/>
                <w:b/>
                <w:sz w:val="22"/>
                <w:szCs w:val="22"/>
              </w:rPr>
              <w:t>Status</w:t>
            </w:r>
          </w:p>
        </w:tc>
      </w:tr>
      <w:tr>
        <w:trPr/>
        <w:tc>
          <w:tcPr>
            <w:tcW w:w="1950" w:type="dxa"/>
            <w:tcBorders>
              <w:top w:val="single" w:sz="4" w:space="0" w:color="000000"/>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Frame field</w:t>
            </w:r>
          </w:p>
        </w:tc>
        <w:tc>
          <w:tcPr>
            <w:tcW w:w="1877" w:type="dxa"/>
            <w:tcBorders>
              <w:top w:val="single" w:sz="4" w:space="0" w:color="000000"/>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ReportingCategory</w:t>
            </w:r>
          </w:p>
        </w:tc>
        <w:tc>
          <w:tcPr>
            <w:tcW w:w="6378" w:type="dxa"/>
            <w:tcBorders>
              <w:top w:val="single" w:sz="4" w:space="0" w:color="000000"/>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InterCatch</w:t>
            </w:r>
          </w:p>
        </w:tc>
        <w:tc>
          <w:tcPr>
            <w:tcW w:w="850" w:type="dxa"/>
            <w:tcBorders>
              <w:top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Frame field</w:t>
            </w:r>
          </w:p>
        </w:tc>
        <w:tc>
          <w:tcPr>
            <w:tcW w:w="187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vesselFlagCountry</w:t>
            </w:r>
          </w:p>
        </w:tc>
        <w:tc>
          <w:tcPr>
            <w:tcW w:w="6378"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Frame field</w:t>
            </w:r>
          </w:p>
        </w:tc>
        <w:tc>
          <w:tcPr>
            <w:tcW w:w="187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year</w:t>
            </w:r>
          </w:p>
        </w:tc>
        <w:tc>
          <w:tcPr>
            <w:tcW w:w="6378"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Frame field</w:t>
            </w:r>
          </w:p>
        </w:tc>
        <w:tc>
          <w:tcPr>
            <w:tcW w:w="187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speciesCode</w:t>
            </w:r>
          </w:p>
        </w:tc>
        <w:tc>
          <w:tcPr>
            <w:tcW w:w="6378"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Frame field</w:t>
            </w:r>
          </w:p>
        </w:tc>
        <w:tc>
          <w:tcPr>
            <w:tcW w:w="187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catchCategory</w:t>
            </w:r>
          </w:p>
          <w:p>
            <w:pPr>
              <w:pStyle w:val="Standard"/>
              <w:widowControl w:val="false"/>
              <w:rPr>
                <w:rFonts w:ascii="Calibri" w:hAnsi="Calibri" w:cs="Calibri"/>
                <w:sz w:val="22"/>
                <w:szCs w:val="22"/>
              </w:rPr>
            </w:pPr>
            <w:r>
              <w:rPr>
                <w:rFonts w:cs="Calibri" w:ascii="Calibri" w:hAnsi="Calibri"/>
                <w:sz w:val="22"/>
                <w:szCs w:val="22"/>
              </w:rPr>
            </w:r>
          </w:p>
        </w:tc>
        <w:tc>
          <w:tcPr>
            <w:tcW w:w="6378"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Fish domain field</w:t>
            </w:r>
          </w:p>
        </w:tc>
        <w:tc>
          <w:tcPr>
            <w:tcW w:w="187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domainVariable</w:t>
            </w:r>
          </w:p>
        </w:tc>
        <w:tc>
          <w:tcPr>
            <w:tcW w:w="6378" w:type="dxa"/>
            <w:tcBorders/>
            <w:shd w:color="auto" w:fill="auto" w:val="clear"/>
            <w:vAlign w:val="center"/>
          </w:tcPr>
          <w:p>
            <w:pPr>
              <w:pStyle w:val="Tabellinnhold"/>
              <w:widowControl w:val="false"/>
              <w:rPr/>
            </w:pPr>
            <w:r>
              <w:rPr>
                <w:rStyle w:val="Policepardfaut"/>
                <w:rFonts w:cs="Calibri" w:ascii="Calibri" w:hAnsi="Calibri"/>
                <w:sz w:val="22"/>
                <w:szCs w:val="22"/>
              </w:rPr>
              <w:t>all numeric variables from BiologicalMeasurements* (</w:t>
            </w:r>
            <w:hyperlink r:id="rId12">
              <w:r>
                <w:rPr>
                  <w:rStyle w:val="Policepardfaut"/>
                  <w:rFonts w:cs="Calibri" w:ascii="Calibri" w:hAnsi="Calibri"/>
                  <w:sz w:val="22"/>
                  <w:szCs w:val="22"/>
                </w:rPr>
                <w:t>https://vocab.ices.dk/?ref=1606</w:t>
              </w:r>
            </w:hyperlink>
            <w:r>
              <w:rPr>
                <w:rStyle w:val="Policepardfaut"/>
                <w:rFonts w:cs="Calibri" w:ascii="Calibri" w:hAnsi="Calibri"/>
                <w:sz w:val="22"/>
                <w:szCs w:val="22"/>
              </w:rPr>
              <w:t>)</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Fish domain field</w:t>
            </w:r>
          </w:p>
        </w:tc>
        <w:tc>
          <w:tcPr>
            <w:tcW w:w="187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MinValue</w:t>
            </w:r>
          </w:p>
        </w:tc>
        <w:tc>
          <w:tcPr>
            <w:tcW w:w="6378"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Highest value of variable that is not in domain.</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Fish domain field</w:t>
            </w:r>
          </w:p>
        </w:tc>
        <w:tc>
          <w:tcPr>
            <w:tcW w:w="187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MaxValue</w:t>
            </w:r>
          </w:p>
        </w:tc>
        <w:tc>
          <w:tcPr>
            <w:tcW w:w="6378"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Highest value of variable that is in domain</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Fish domain field</w:t>
            </w:r>
          </w:p>
        </w:tc>
        <w:tc>
          <w:tcPr>
            <w:tcW w:w="187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Age</w:t>
            </w:r>
          </w:p>
        </w:tc>
        <w:tc>
          <w:tcPr>
            <w:tcW w:w="6378" w:type="dxa"/>
            <w:tcBorders/>
            <w:shd w:color="auto" w:fill="auto" w:val="clear"/>
            <w:vAlign w:val="center"/>
          </w:tcPr>
          <w:p>
            <w:pPr>
              <w:pStyle w:val="Tabellinnhold"/>
              <w:widowControl w:val="false"/>
              <w:rPr/>
            </w:pPr>
            <w:r>
              <w:rPr>
                <w:rStyle w:val="Policepardfaut"/>
                <w:rFonts w:cs="Calibri" w:ascii="Calibri" w:hAnsi="Calibri"/>
                <w:sz w:val="22"/>
                <w:szCs w:val="22"/>
              </w:rPr>
              <w:t xml:space="preserve">As in  </w:t>
            </w:r>
            <w:hyperlink r:id="rId13">
              <w:r>
                <w:rPr>
                  <w:rStyle w:val="Policepardfaut"/>
                  <w:rFonts w:cs="Calibri" w:ascii="Calibri" w:hAnsi="Calibri"/>
                  <w:sz w:val="22"/>
                  <w:szCs w:val="22"/>
                </w:rPr>
                <w:t>https://vocab.ices.dk/?</w:t>
              </w:r>
            </w:hyperlink>
            <w:hyperlink r:id="rId14">
              <w:r>
                <w:rPr>
                  <w:rStyle w:val="Policepardfaut"/>
                  <w:rFonts w:cs="Calibri" w:ascii="Calibri" w:hAnsi="Calibri"/>
                  <w:sz w:val="22"/>
                  <w:szCs w:val="22"/>
                </w:rPr>
                <w:t>ref=1606</w:t>
              </w:r>
            </w:hyperlink>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Fish domain field</w:t>
            </w:r>
          </w:p>
        </w:tc>
        <w:tc>
          <w:tcPr>
            <w:tcW w:w="187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Sex</w:t>
            </w:r>
          </w:p>
        </w:tc>
        <w:tc>
          <w:tcPr>
            <w:tcW w:w="6378" w:type="dxa"/>
            <w:tcBorders/>
            <w:shd w:color="auto" w:fill="auto" w:val="clear"/>
            <w:vAlign w:val="center"/>
          </w:tcPr>
          <w:p>
            <w:pPr>
              <w:pStyle w:val="Tabellinnhold"/>
              <w:widowControl w:val="false"/>
              <w:rPr/>
            </w:pPr>
            <w:r>
              <w:rPr>
                <w:rStyle w:val="Policepardfaut"/>
                <w:rFonts w:cs="Calibri" w:ascii="Calibri" w:hAnsi="Calibri"/>
                <w:sz w:val="22"/>
                <w:szCs w:val="22"/>
              </w:rPr>
              <w:t xml:space="preserve">As in  </w:t>
            </w:r>
            <w:hyperlink r:id="rId15">
              <w:r>
                <w:rPr>
                  <w:rStyle w:val="Policepardfaut"/>
                  <w:rFonts w:cs="Calibri" w:ascii="Calibri" w:hAnsi="Calibri"/>
                  <w:sz w:val="22"/>
                  <w:szCs w:val="22"/>
                </w:rPr>
                <w:t>https://vocab.ices.dk/?</w:t>
              </w:r>
            </w:hyperlink>
            <w:hyperlink r:id="rId16">
              <w:r>
                <w:rPr>
                  <w:rStyle w:val="Policepardfaut"/>
                  <w:rFonts w:cs="Calibri" w:ascii="Calibri" w:hAnsi="Calibri"/>
                  <w:sz w:val="22"/>
                  <w:szCs w:val="22"/>
                </w:rPr>
                <w:t>ref=1606</w:t>
              </w:r>
            </w:hyperlink>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Fish domain field</w:t>
            </w:r>
          </w:p>
        </w:tc>
        <w:tc>
          <w:tcPr>
            <w:tcW w:w="1877" w:type="dxa"/>
            <w:tcBorders/>
            <w:shd w:color="auto" w:fill="auto" w:val="clear"/>
            <w:vAlign w:val="center"/>
          </w:tcPr>
          <w:p>
            <w:pPr>
              <w:pStyle w:val="Tabellinnhold"/>
              <w:widowControl w:val="false"/>
              <w:rPr>
                <w:rFonts w:ascii="Calibri" w:hAnsi="Calibri" w:cs="Calibri"/>
                <w:color w:val="333333"/>
                <w:sz w:val="22"/>
                <w:szCs w:val="22"/>
              </w:rPr>
            </w:pPr>
            <w:r>
              <w:rPr>
                <w:rFonts w:cs="Calibri" w:ascii="Calibri" w:hAnsi="Calibri"/>
                <w:color w:val="333333"/>
                <w:sz w:val="22"/>
                <w:szCs w:val="22"/>
              </w:rPr>
              <w:t>Maturity</w:t>
            </w:r>
          </w:p>
        </w:tc>
        <w:tc>
          <w:tcPr>
            <w:tcW w:w="6378" w:type="dxa"/>
            <w:tcBorders/>
            <w:shd w:color="auto" w:fill="auto" w:val="clear"/>
            <w:vAlign w:val="center"/>
          </w:tcPr>
          <w:p>
            <w:pPr>
              <w:pStyle w:val="Tabellinnhold"/>
              <w:widowControl w:val="false"/>
              <w:rPr/>
            </w:pPr>
            <w:r>
              <w:rPr>
                <w:rStyle w:val="Policepardfaut"/>
                <w:rFonts w:cs="Calibri" w:ascii="Calibri" w:hAnsi="Calibri"/>
                <w:sz w:val="22"/>
                <w:szCs w:val="22"/>
              </w:rPr>
              <w:t xml:space="preserve">As in </w:t>
            </w:r>
            <w:hyperlink r:id="rId17">
              <w:r>
                <w:rPr>
                  <w:rStyle w:val="Policepardfaut"/>
                  <w:rFonts w:cs="Calibri" w:ascii="Calibri" w:hAnsi="Calibri"/>
                  <w:sz w:val="22"/>
                  <w:szCs w:val="22"/>
                </w:rPr>
                <w:t>https://vocab.ices.dk/?</w:t>
              </w:r>
            </w:hyperlink>
            <w:hyperlink r:id="rId18">
              <w:r>
                <w:rPr>
                  <w:rStyle w:val="Policepardfaut"/>
                  <w:rFonts w:cs="Calibri" w:ascii="Calibri" w:hAnsi="Calibri"/>
                  <w:sz w:val="22"/>
                  <w:szCs w:val="22"/>
                </w:rPr>
                <w:t>ref=1606</w:t>
              </w:r>
            </w:hyperlink>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19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Fish domain field</w:t>
            </w:r>
          </w:p>
        </w:tc>
        <w:tc>
          <w:tcPr>
            <w:tcW w:w="187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StockMembership</w:t>
            </w:r>
          </w:p>
        </w:tc>
        <w:tc>
          <w:tcPr>
            <w:tcW w:w="6378" w:type="dxa"/>
            <w:tcBorders/>
            <w:shd w:color="auto" w:fill="auto" w:val="clear"/>
            <w:vAlign w:val="center"/>
          </w:tcPr>
          <w:p>
            <w:pPr>
              <w:pStyle w:val="Tabellinnhold"/>
              <w:widowControl w:val="false"/>
              <w:rPr/>
            </w:pPr>
            <w:r>
              <w:rPr>
                <w:rStyle w:val="Policepardfaut"/>
                <w:rFonts w:cs="Calibri" w:ascii="Calibri" w:hAnsi="Calibri"/>
                <w:sz w:val="22"/>
                <w:szCs w:val="22"/>
              </w:rPr>
              <w:t xml:space="preserve">As Stock in  </w:t>
            </w:r>
            <w:hyperlink r:id="rId19">
              <w:r>
                <w:rPr>
                  <w:rStyle w:val="Policepardfaut"/>
                  <w:rFonts w:cs="Calibri" w:ascii="Calibri" w:hAnsi="Calibri"/>
                  <w:sz w:val="22"/>
                  <w:szCs w:val="22"/>
                </w:rPr>
                <w:t>https://vocab.ices.dk/?ref=1606</w:t>
              </w:r>
            </w:hyperlink>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1950" w:type="dxa"/>
            <w:tcBorders>
              <w:bottom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Identifier field</w:t>
            </w:r>
          </w:p>
        </w:tc>
        <w:tc>
          <w:tcPr>
            <w:tcW w:w="1877" w:type="dxa"/>
            <w:tcBorders>
              <w:bottom w:val="single" w:sz="4" w:space="0" w:color="000000"/>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fishDomain</w:t>
            </w:r>
          </w:p>
        </w:tc>
        <w:tc>
          <w:tcPr>
            <w:tcW w:w="6378" w:type="dxa"/>
            <w:tcBorders>
              <w:bottom w:val="single" w:sz="4" w:space="0" w:color="000000"/>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User defined string defining a domain within a frame (Frame fields).</w:t>
            </w:r>
          </w:p>
        </w:tc>
        <w:tc>
          <w:tcPr>
            <w:tcW w:w="850" w:type="dxa"/>
            <w:tcBorders>
              <w:bottom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bl>
    <w:p>
      <w:pPr>
        <w:pStyle w:val="Textbody"/>
        <w:rPr>
          <w:rFonts w:ascii="Calibri" w:hAnsi="Calibri" w:cs="Calibri"/>
          <w:sz w:val="17"/>
          <w:szCs w:val="17"/>
        </w:rPr>
      </w:pPr>
      <w:r>
        <w:rPr>
          <w:rFonts w:cs="Calibri" w:ascii="Calibri" w:hAnsi="Calibri"/>
          <w:sz w:val="17"/>
          <w:szCs w:val="17"/>
        </w:rPr>
      </w:r>
    </w:p>
    <w:p>
      <w:pPr>
        <w:pStyle w:val="Textbody"/>
        <w:jc w:val="both"/>
        <w:rPr/>
      </w:pPr>
      <w:r>
        <w:rPr/>
        <w:t>Note that the abstraction of ranged variables into the field ‘domainVariable’ allows domains to be defined with any kind of length measurement (Total length, carapace length, etc.).</w:t>
      </w:r>
    </w:p>
    <w:p>
      <w:pPr>
        <w:pStyle w:val="Textbody"/>
        <w:jc w:val="both"/>
        <w:rPr/>
      </w:pPr>
      <w:r>
        <w:rPr/>
        <w:t>Variable needs to be mandatory, since it affects the interpretation of MinValue and MaxValue. This means that some variable must always be set. While it may be cumbersome if only categorical variables are desired in the domain, this can always be circumvented by setting the ranges large enough that the cover all fish. There are some unresolved concerns with this kind of domain representation, see the section on “comparing fish domain”.</w:t>
      </w:r>
    </w:p>
    <w:p>
      <w:pPr>
        <w:pStyle w:val="Textbody"/>
        <w:jc w:val="both"/>
        <w:rPr/>
      </w:pPr>
      <w:r>
        <w:rPr/>
        <w:t>Note that since Age is both a discrete and numerical variable, the conventional plusgroup definition can be encoded in two ways:</w:t>
      </w:r>
    </w:p>
    <w:p>
      <w:pPr>
        <w:pStyle w:val="Textbody"/>
        <w:numPr>
          <w:ilvl w:val="0"/>
          <w:numId w:val="6"/>
        </w:numPr>
        <w:jc w:val="both"/>
        <w:rPr/>
      </w:pPr>
      <w:r>
        <w:rPr/>
        <w:t>Set Age as the field ‘variable’ and set MinAge=MaxAge for all ages below the plusgroup, and set MaxAge to a sufficiently high number for the plus group.</w:t>
      </w:r>
    </w:p>
    <w:p>
      <w:pPr>
        <w:pStyle w:val="Textbody"/>
        <w:numPr>
          <w:ilvl w:val="0"/>
          <w:numId w:val="6"/>
        </w:numPr>
        <w:jc w:val="both"/>
        <w:rPr/>
      </w:pPr>
      <w:r>
        <w:rPr/>
        <w:t>Include the field Age, and set the field ‘fishDomain’ to the same value for all values &gt; than the plusgroup age.</w:t>
      </w:r>
    </w:p>
    <w:p>
      <w:pPr>
        <w:pStyle w:val="Textbody"/>
        <w:jc w:val="both"/>
        <w:rPr/>
      </w:pPr>
      <w:r>
        <w:rPr/>
        <w:t>Note that the identifier field ‘fishDomain’ only defines the domain within the frame fields. This is to ensure that estimators working in different frames (e.g. different countries) do not have to coordinate about domain naming.</w:t>
      </w:r>
    </w:p>
    <w:p>
      <w:pPr>
        <w:pStyle w:val="Titre2"/>
        <w:rPr/>
      </w:pPr>
      <w:r>
        <w:rPr/>
        <w:t>Starting vocabulary for CATCHES</w:t>
      </w:r>
    </w:p>
    <w:p>
      <w:pPr>
        <w:pStyle w:val="Textbody"/>
        <w:jc w:val="both"/>
        <w:rPr/>
      </w:pPr>
      <w:r>
        <w:rPr/>
        <w:t>The CATCHES table both defines the activity domains (identifying what is meant by the field ‘activityDomain’ in ESTIMATES) and provides information about total catch for each domain. Total catch can be provided for smaller partitions of the fishery compared to the domains where estimates are provided for. However, note that the structure ensures that total catch for a domain can be inferred by summation.</w:t>
      </w:r>
    </w:p>
    <w:p>
      <w:pPr>
        <w:pStyle w:val="Textbody"/>
        <w:rPr/>
      </w:pPr>
      <w:r>
        <w:rPr/>
        <w:t>In order to specify activity domains, we could define as part of the vocabulary the columns of CE and CL. We will start with those necessary for compatibility with InterCatch, and add some fields from ICEF that does not exist in the current RDBES (Table 3).</w:t>
      </w:r>
    </w:p>
    <w:p>
      <w:pPr>
        <w:pStyle w:val="Textbody"/>
        <w:spacing w:lineRule="auto" w:line="240" w:before="0" w:after="120"/>
        <w:jc w:val="both"/>
        <w:rPr/>
      </w:pPr>
      <w:r>
        <w:rPr>
          <w:rStyle w:val="Policepardfaut"/>
          <w:rFonts w:cs="Calibri" w:ascii="Calibri" w:hAnsi="Calibri"/>
          <w:b/>
          <w:sz w:val="17"/>
          <w:szCs w:val="17"/>
        </w:rPr>
        <w:t>Table 3. CATCHES.</w:t>
      </w:r>
    </w:p>
    <w:tbl>
      <w:tblPr>
        <w:tblW w:w="9781"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2154"/>
        <w:gridCol w:w="2098"/>
        <w:gridCol w:w="4538"/>
        <w:gridCol w:w="990"/>
      </w:tblGrid>
      <w:tr>
        <w:trPr/>
        <w:tc>
          <w:tcPr>
            <w:tcW w:w="2154"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Field type</w:t>
            </w:r>
          </w:p>
        </w:tc>
        <w:tc>
          <w:tcPr>
            <w:tcW w:w="2098"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Name</w:t>
            </w:r>
          </w:p>
        </w:tc>
        <w:tc>
          <w:tcPr>
            <w:tcW w:w="4538"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Description</w:t>
            </w:r>
          </w:p>
        </w:tc>
        <w:tc>
          <w:tcPr>
            <w:tcW w:w="990" w:type="dxa"/>
            <w:tcBorders>
              <w:top w:val="single" w:sz="4" w:space="0" w:color="000000"/>
              <w:bottom w:val="single" w:sz="4" w:space="0" w:color="000000"/>
            </w:tcBorders>
            <w:shd w:color="auto" w:fill="92D050" w:val="clear"/>
            <w:vAlign w:val="center"/>
          </w:tcPr>
          <w:p>
            <w:pPr>
              <w:pStyle w:val="Tabellinnhold"/>
              <w:widowControl w:val="false"/>
              <w:jc w:val="center"/>
              <w:rPr/>
            </w:pPr>
            <w:r>
              <w:rPr>
                <w:rStyle w:val="Policepardfaut"/>
                <w:rFonts w:cs="Calibri" w:ascii="Calibri" w:hAnsi="Calibri"/>
                <w:b/>
                <w:sz w:val="22"/>
                <w:szCs w:val="22"/>
              </w:rPr>
              <w:t>Status</w:t>
            </w:r>
          </w:p>
        </w:tc>
      </w:tr>
      <w:tr>
        <w:trPr/>
        <w:tc>
          <w:tcPr>
            <w:tcW w:w="2154" w:type="dxa"/>
            <w:tcBorders>
              <w:top w:val="single" w:sz="4" w:space="0" w:color="000000"/>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Frame field</w:t>
            </w:r>
          </w:p>
        </w:tc>
        <w:tc>
          <w:tcPr>
            <w:tcW w:w="2098" w:type="dxa"/>
            <w:tcBorders>
              <w:top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reportingCategory</w:t>
            </w:r>
          </w:p>
        </w:tc>
        <w:tc>
          <w:tcPr>
            <w:tcW w:w="4538" w:type="dxa"/>
            <w:tcBorders>
              <w:top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InterCatch</w:t>
            </w:r>
          </w:p>
        </w:tc>
        <w:tc>
          <w:tcPr>
            <w:tcW w:w="990" w:type="dxa"/>
            <w:tcBorders>
              <w:top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2154"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Frame field</w:t>
            </w:r>
          </w:p>
        </w:tc>
        <w:tc>
          <w:tcPr>
            <w:tcW w:w="209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vesselFlagCountry</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 and CE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2154"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Frame field</w:t>
            </w:r>
          </w:p>
        </w:tc>
        <w:tc>
          <w:tcPr>
            <w:tcW w:w="209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year</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 and CE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2154"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Frame field</w:t>
            </w:r>
          </w:p>
        </w:tc>
        <w:tc>
          <w:tcPr>
            <w:tcW w:w="209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speciesCode</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2154"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Frame field</w:t>
            </w:r>
          </w:p>
        </w:tc>
        <w:tc>
          <w:tcPr>
            <w:tcW w:w="2098"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catchCategory</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2154"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09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Quarter</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 and CE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4"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09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Month</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 and CE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4"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09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area</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 and CE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4"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09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statisticalRectangle</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 and CE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4"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09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metier6</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 and CE</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4"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098"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Fleet</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InterCatch</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4"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Identifier field</w:t>
            </w:r>
          </w:p>
        </w:tc>
        <w:tc>
          <w:tcPr>
            <w:tcW w:w="2098"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activityDomain</w:t>
            </w:r>
          </w:p>
        </w:tc>
        <w:tc>
          <w:tcPr>
            <w:tcW w:w="4538"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User defined string defining a domain within a frame (Frame fields).</w:t>
            </w:r>
          </w:p>
        </w:tc>
        <w:tc>
          <w:tcPr>
            <w:tcW w:w="99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2154" w:type="dxa"/>
            <w:tcBorders>
              <w:bottom w:val="single" w:sz="4" w:space="0" w:color="000000"/>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098" w:type="dxa"/>
            <w:tcBorders>
              <w:bottom w:val="single" w:sz="4" w:space="0" w:color="000000"/>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ScientificWeight</w:t>
            </w:r>
          </w:p>
        </w:tc>
        <w:tc>
          <w:tcPr>
            <w:tcW w:w="4538" w:type="dxa"/>
            <w:tcBorders>
              <w:bottom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As in CL, should be NA, if CatchCategory is ’D’</w:t>
            </w:r>
          </w:p>
        </w:tc>
        <w:tc>
          <w:tcPr>
            <w:tcW w:w="990" w:type="dxa"/>
            <w:tcBorders>
              <w:bottom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bl>
    <w:p>
      <w:pPr>
        <w:pStyle w:val="Textbody"/>
        <w:rPr/>
      </w:pPr>
      <w:r>
        <w:rPr/>
      </w:r>
    </w:p>
    <w:p>
      <w:pPr>
        <w:pStyle w:val="Textbody"/>
        <w:jc w:val="both"/>
        <w:rPr/>
      </w:pPr>
      <w:r>
        <w:rPr/>
        <w:t>Again, note that the identifier field ‘activityDomain’ only defines the domain within the frame fields. This is to ensure that estimators working in different frames (e.g. different countries) does not have to coordinate about domain naming.</w:t>
      </w:r>
    </w:p>
    <w:p>
      <w:pPr>
        <w:pStyle w:val="Textbody"/>
        <w:jc w:val="both"/>
        <w:rPr/>
      </w:pPr>
      <w:r>
        <w:rPr/>
        <w:t>Since discards are estimated, we will prefer to provide them as total abundance estimates on Table 1, rather than on Table 3 (CATCHES).</w:t>
      </w:r>
    </w:p>
    <w:p>
      <w:pPr>
        <w:pStyle w:val="Textbody"/>
        <w:jc w:val="both"/>
        <w:rPr/>
      </w:pPr>
      <w:r>
        <w:rPr/>
        <w:t>For full compatibility with InterCatch, the ReportingCategory should to be included. It is describing the frame that estimates are provided for, so it will be necessary to know its value to determine if it can be combined or compared with other tables, such as CATCHES or EFFORT. Therefore, it would also have to be mandatory. It does however conceptually overlap with the concept of scientific weight. We did consider if it was possible to support ICEF compatibility without this field, since it is not a concept that is otherwise occurring in RDBES, but we have not been able to conclude and have left it in.</w:t>
      </w:r>
    </w:p>
    <w:p>
      <w:pPr>
        <w:pStyle w:val="Textbody"/>
        <w:jc w:val="both"/>
        <w:rPr/>
      </w:pPr>
      <w:r>
        <w:rPr/>
        <w:t xml:space="preserve">The Fleet variable is important as it represents specific vocabularies of domain definitions that are controlled by the data users (assessment working groups). We have simply adapted it from InterCatch for compatibility reasons. However, no careful consideration was made to test if the current way of representing these customized domains which are required by data users is either sufficiently flexible or strict. </w:t>
      </w:r>
    </w:p>
    <w:p>
      <w:pPr>
        <w:pStyle w:val="Textbody"/>
        <w:jc w:val="both"/>
        <w:rPr/>
      </w:pPr>
      <w:r>
        <w:rPr/>
        <w:t>The granularity of these fleets may also be a key point of conversation between data providers and users. In many cases, it may be precisely the provision of very detailed fleet definitions that has been forcing low precisions of estimates and data imputation.</w:t>
      </w:r>
    </w:p>
    <w:p>
      <w:pPr>
        <w:pStyle w:val="Textbody"/>
        <w:jc w:val="both"/>
        <w:rPr/>
      </w:pPr>
      <w:r>
        <w:rPr/>
        <w:t>The code list for the fleet variable is actually a concatenation of many fleet definitions. This could be made clearer by making one list for each working group to give them direct controls. As long as these are introduced as optionally present fields (P), they can be added to the format as needed and, consequently, can entirely phase out the need for the field “Fleet”.</w:t>
      </w:r>
    </w:p>
    <w:p>
      <w:pPr>
        <w:pStyle w:val="Titre2"/>
        <w:rPr/>
      </w:pPr>
      <w:r>
        <w:rPr/>
        <w:t>Starting vocabulary for EFFORT</w:t>
      </w:r>
    </w:p>
    <w:p>
      <w:pPr>
        <w:pStyle w:val="Textbody"/>
        <w:jc w:val="both"/>
        <w:rPr/>
      </w:pPr>
      <w:r>
        <w:rPr/>
        <w:t>As in InterCatch, EFFORT is defined for a wider frame than the other tables since qualities of the catches are not known for all efforts (for instance efforts not resulting in any catch). This information serves as auxiliary variables for downstream estimation.</w:t>
      </w:r>
    </w:p>
    <w:p>
      <w:pPr>
        <w:pStyle w:val="Textbody"/>
        <w:rPr/>
      </w:pPr>
      <w:r>
        <w:rPr/>
        <w:t>A starting list of vocabularies for effort are indicated in Table 4.</w:t>
      </w:r>
    </w:p>
    <w:p>
      <w:pPr>
        <w:pStyle w:val="Textbody"/>
        <w:spacing w:lineRule="auto" w:line="240" w:before="0" w:after="120"/>
        <w:jc w:val="both"/>
        <w:rPr/>
      </w:pPr>
      <w:r>
        <w:rPr>
          <w:rStyle w:val="Policepardfaut"/>
          <w:rFonts w:cs="Calibri" w:ascii="Calibri" w:hAnsi="Calibri"/>
          <w:b/>
          <w:sz w:val="17"/>
          <w:szCs w:val="17"/>
        </w:rPr>
        <w:t>Table 4. Suggested vocabularies for EFFORT.</w:t>
      </w:r>
    </w:p>
    <w:tbl>
      <w:tblPr>
        <w:tblW w:w="10915"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155"/>
        <w:gridCol w:w="2947"/>
        <w:gridCol w:w="4962"/>
        <w:gridCol w:w="850"/>
      </w:tblGrid>
      <w:tr>
        <w:trPr/>
        <w:tc>
          <w:tcPr>
            <w:tcW w:w="2155"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Field type</w:t>
            </w:r>
          </w:p>
        </w:tc>
        <w:tc>
          <w:tcPr>
            <w:tcW w:w="2947"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Name</w:t>
            </w:r>
          </w:p>
        </w:tc>
        <w:tc>
          <w:tcPr>
            <w:tcW w:w="4962" w:type="dxa"/>
            <w:tcBorders>
              <w:top w:val="single" w:sz="4" w:space="0" w:color="000000"/>
              <w:bottom w:val="single" w:sz="4" w:space="0" w:color="000000"/>
            </w:tcBorders>
            <w:shd w:color="auto" w:fill="92D050" w:val="clear"/>
            <w:vAlign w:val="center"/>
          </w:tcPr>
          <w:p>
            <w:pPr>
              <w:pStyle w:val="Tabellinnhold"/>
              <w:widowControl w:val="false"/>
              <w:jc w:val="center"/>
              <w:rPr>
                <w:rFonts w:ascii="Calibri" w:hAnsi="Calibri" w:cs="Calibri"/>
                <w:b/>
                <w:b/>
                <w:sz w:val="22"/>
                <w:szCs w:val="22"/>
              </w:rPr>
            </w:pPr>
            <w:r>
              <w:rPr>
                <w:rFonts w:cs="Calibri" w:ascii="Calibri" w:hAnsi="Calibri"/>
                <w:b/>
                <w:sz w:val="22"/>
                <w:szCs w:val="22"/>
              </w:rPr>
              <w:t>Description</w:t>
            </w:r>
          </w:p>
        </w:tc>
        <w:tc>
          <w:tcPr>
            <w:tcW w:w="850" w:type="dxa"/>
            <w:tcBorders>
              <w:top w:val="single" w:sz="4" w:space="0" w:color="000000"/>
              <w:bottom w:val="single" w:sz="4" w:space="0" w:color="000000"/>
            </w:tcBorders>
            <w:shd w:color="auto" w:fill="92D050" w:val="clear"/>
            <w:vAlign w:val="center"/>
          </w:tcPr>
          <w:p>
            <w:pPr>
              <w:pStyle w:val="Tabellinnhold"/>
              <w:widowControl w:val="false"/>
              <w:jc w:val="center"/>
              <w:rPr/>
            </w:pPr>
            <w:r>
              <w:rPr>
                <w:rStyle w:val="Policepardfaut"/>
                <w:rFonts w:cs="Calibri" w:ascii="Calibri" w:hAnsi="Calibri"/>
                <w:b/>
                <w:sz w:val="22"/>
                <w:szCs w:val="22"/>
              </w:rPr>
              <w:t>Status</w:t>
            </w:r>
          </w:p>
        </w:tc>
      </w:tr>
      <w:tr>
        <w:trPr/>
        <w:tc>
          <w:tcPr>
            <w:tcW w:w="2155" w:type="dxa"/>
            <w:tcBorders>
              <w:top w:val="single" w:sz="4" w:space="0" w:color="000000"/>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Frame field</w:t>
            </w:r>
          </w:p>
        </w:tc>
        <w:tc>
          <w:tcPr>
            <w:tcW w:w="2947" w:type="dxa"/>
            <w:tcBorders>
              <w:top w:val="single" w:sz="4" w:space="0" w:color="000000"/>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vesselFlagCountry</w:t>
            </w:r>
          </w:p>
        </w:tc>
        <w:tc>
          <w:tcPr>
            <w:tcW w:w="4962" w:type="dxa"/>
            <w:tcBorders>
              <w:top w:val="single" w:sz="4" w:space="0" w:color="000000"/>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 and CE</w:t>
            </w:r>
          </w:p>
        </w:tc>
        <w:tc>
          <w:tcPr>
            <w:tcW w:w="850" w:type="dxa"/>
            <w:tcBorders>
              <w:top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Frame field</w:t>
            </w:r>
          </w:p>
        </w:tc>
        <w:tc>
          <w:tcPr>
            <w:tcW w:w="294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year</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 and CE</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M</w:t>
            </w:r>
          </w:p>
        </w:tc>
      </w:tr>
      <w:tr>
        <w:trPr/>
        <w:tc>
          <w:tcPr>
            <w:tcW w:w="2155"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94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Quarter</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 and CE</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5"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94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Month</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 and CE</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5"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94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area</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 and CE</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5"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947"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statisticalRectangle</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CL and CE</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5"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Activity domain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Fleet</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InterCatch</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P</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ScientificDaysAtSea</w:t>
            </w:r>
          </w:p>
          <w:p>
            <w:pPr>
              <w:pStyle w:val="Standard"/>
              <w:widowControl w:val="false"/>
              <w:rPr>
                <w:rFonts w:ascii="Calibri" w:hAnsi="Calibri" w:cs="Calibri"/>
                <w:sz w:val="22"/>
                <w:szCs w:val="22"/>
              </w:rPr>
            </w:pPr>
            <w:r>
              <w:rPr>
                <w:rFonts w:cs="Calibri" w:ascii="Calibri" w:hAnsi="Calibri"/>
                <w:sz w:val="22"/>
                <w:szCs w:val="22"/>
              </w:rPr>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CE. Corresponding to ICEF UnitEffort=dop</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scientifickWDaysAtSea</w:t>
            </w:r>
          </w:p>
          <w:p>
            <w:pPr>
              <w:pStyle w:val="Standard"/>
              <w:widowControl w:val="false"/>
              <w:rPr>
                <w:rFonts w:ascii="Calibri" w:hAnsi="Calibri" w:cs="Calibri"/>
                <w:sz w:val="22"/>
                <w:szCs w:val="22"/>
              </w:rPr>
            </w:pPr>
            <w:r>
              <w:rPr>
                <w:rFonts w:cs="Calibri" w:ascii="Calibri" w:hAnsi="Calibri"/>
                <w:sz w:val="22"/>
                <w:szCs w:val="22"/>
              </w:rPr>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CE. Corresponding to ICEF UnitEffort=kWd</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scientificFishingDays</w:t>
            </w:r>
          </w:p>
          <w:p>
            <w:pPr>
              <w:pStyle w:val="Standard"/>
              <w:widowControl w:val="false"/>
              <w:rPr>
                <w:rFonts w:ascii="Calibri" w:hAnsi="Calibri" w:cs="Calibri"/>
                <w:sz w:val="22"/>
                <w:szCs w:val="22"/>
              </w:rPr>
            </w:pPr>
            <w:r>
              <w:rPr>
                <w:rFonts w:cs="Calibri" w:ascii="Calibri" w:hAnsi="Calibri"/>
                <w:sz w:val="22"/>
                <w:szCs w:val="22"/>
              </w:rPr>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CE. Corresponding to ICEF UnitEffort=fd</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scientificVesselFishingHour</w:t>
            </w:r>
          </w:p>
          <w:p>
            <w:pPr>
              <w:pStyle w:val="Standard"/>
              <w:widowControl w:val="false"/>
              <w:rPr>
                <w:rFonts w:ascii="Calibri" w:hAnsi="Calibri" w:cs="Calibri"/>
                <w:sz w:val="22"/>
                <w:szCs w:val="22"/>
              </w:rPr>
            </w:pPr>
            <w:r>
              <w:rPr>
                <w:rFonts w:cs="Calibri" w:ascii="Calibri" w:hAnsi="Calibri"/>
                <w:sz w:val="22"/>
                <w:szCs w:val="22"/>
              </w:rPr>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CE. Corresponding to ICEF UnitEffort=hf</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scientifickWFishingDays</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CE. Corresponding to ICEF UnitEffort=dhp</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numberOfUniqueVessels</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CE. Corresponding to ICEF UnitEffort=NoV</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numberOfDominantTrips</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CE. Corresponding to ICEF UnitEffort=tr</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scientifickWFishingHours</w:t>
            </w:r>
          </w:p>
          <w:p>
            <w:pPr>
              <w:pStyle w:val="Standard"/>
              <w:widowControl w:val="false"/>
              <w:rPr>
                <w:rFonts w:ascii="Calibri" w:hAnsi="Calibri" w:cs="Calibri"/>
                <w:sz w:val="22"/>
                <w:szCs w:val="22"/>
              </w:rPr>
            </w:pPr>
            <w:r>
              <w:rPr>
                <w:rFonts w:cs="Calibri" w:ascii="Calibri" w:hAnsi="Calibri"/>
                <w:sz w:val="22"/>
                <w:szCs w:val="22"/>
              </w:rPr>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CE. Corresponding to ICEF UnitEffort=hph</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2155" w:type="dxa"/>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ScientificNumberOfHaulsOrSets</w:t>
            </w:r>
          </w:p>
        </w:tc>
        <w:tc>
          <w:tcPr>
            <w:tcW w:w="4962" w:type="dxa"/>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CE. Corresponding to ICEF UnitEffort=ntn or NtN</w:t>
            </w:r>
          </w:p>
        </w:tc>
        <w:tc>
          <w:tcPr>
            <w:tcW w:w="850" w:type="dxa"/>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r>
        <w:trPr/>
        <w:tc>
          <w:tcPr>
            <w:tcW w:w="2155" w:type="dxa"/>
            <w:tcBorders>
              <w:bottom w:val="single" w:sz="4" w:space="0" w:color="000000"/>
            </w:tcBorders>
            <w:shd w:color="auto" w:fill="auto" w:val="clear"/>
            <w:vAlign w:val="center"/>
          </w:tcPr>
          <w:p>
            <w:pPr>
              <w:pStyle w:val="Standard"/>
              <w:widowControl w:val="false"/>
              <w:jc w:val="center"/>
              <w:rPr>
                <w:rFonts w:ascii="Calibri" w:hAnsi="Calibri" w:cs="Calibri"/>
                <w:sz w:val="22"/>
                <w:szCs w:val="22"/>
              </w:rPr>
            </w:pPr>
            <w:r>
              <w:rPr>
                <w:rFonts w:cs="Calibri" w:ascii="Calibri" w:hAnsi="Calibri"/>
                <w:sz w:val="22"/>
                <w:szCs w:val="22"/>
              </w:rPr>
              <w:t>Value field</w:t>
            </w:r>
          </w:p>
        </w:tc>
        <w:tc>
          <w:tcPr>
            <w:tcW w:w="2947" w:type="dxa"/>
            <w:tcBorders>
              <w:bottom w:val="single" w:sz="4" w:space="0" w:color="000000"/>
            </w:tcBorders>
            <w:shd w:color="auto" w:fill="auto" w:val="clear"/>
            <w:vAlign w:val="center"/>
          </w:tcPr>
          <w:p>
            <w:pPr>
              <w:pStyle w:val="Standard"/>
              <w:widowControl w:val="false"/>
              <w:rPr>
                <w:rFonts w:ascii="Calibri" w:hAnsi="Calibri" w:cs="Calibri"/>
                <w:sz w:val="22"/>
                <w:szCs w:val="22"/>
              </w:rPr>
            </w:pPr>
            <w:r>
              <w:rPr>
                <w:rFonts w:cs="Calibri" w:ascii="Calibri" w:hAnsi="Calibri"/>
                <w:sz w:val="22"/>
                <w:szCs w:val="22"/>
              </w:rPr>
              <w:t>scientificVesselKgPrHour</w:t>
            </w:r>
          </w:p>
        </w:tc>
        <w:tc>
          <w:tcPr>
            <w:tcW w:w="4962" w:type="dxa"/>
            <w:tcBorders>
              <w:bottom w:val="single" w:sz="4" w:space="0" w:color="000000"/>
            </w:tcBorders>
            <w:shd w:color="auto" w:fill="auto" w:val="clear"/>
            <w:vAlign w:val="center"/>
          </w:tcPr>
          <w:p>
            <w:pPr>
              <w:pStyle w:val="Tabellinnhold"/>
              <w:widowControl w:val="false"/>
              <w:rPr>
                <w:rFonts w:ascii="Calibri" w:hAnsi="Calibri" w:cs="Calibri"/>
                <w:sz w:val="22"/>
                <w:szCs w:val="22"/>
              </w:rPr>
            </w:pPr>
            <w:r>
              <w:rPr>
                <w:rFonts w:cs="Calibri" w:ascii="Calibri" w:hAnsi="Calibri"/>
                <w:sz w:val="22"/>
                <w:szCs w:val="22"/>
              </w:rPr>
              <w:t>As in ICEF Effort, when UnitEffort=kh or th</w:t>
            </w:r>
          </w:p>
        </w:tc>
        <w:tc>
          <w:tcPr>
            <w:tcW w:w="850" w:type="dxa"/>
            <w:tcBorders>
              <w:bottom w:val="single" w:sz="4" w:space="0" w:color="000000"/>
            </w:tcBorders>
            <w:shd w:color="auto" w:fill="auto" w:val="clear"/>
            <w:vAlign w:val="center"/>
          </w:tcPr>
          <w:p>
            <w:pPr>
              <w:pStyle w:val="Tabellinnhold"/>
              <w:widowControl w:val="false"/>
              <w:jc w:val="center"/>
              <w:rPr>
                <w:rFonts w:ascii="Calibri" w:hAnsi="Calibri" w:cs="Calibri"/>
                <w:sz w:val="22"/>
                <w:szCs w:val="22"/>
              </w:rPr>
            </w:pPr>
            <w:r>
              <w:rPr>
                <w:rFonts w:cs="Calibri" w:ascii="Calibri" w:hAnsi="Calibri"/>
                <w:sz w:val="22"/>
                <w:szCs w:val="22"/>
              </w:rPr>
              <w:t>O</w:t>
            </w:r>
          </w:p>
        </w:tc>
      </w:tr>
    </w:tbl>
    <w:p>
      <w:pPr>
        <w:pStyle w:val="Normal"/>
        <w:rPr/>
      </w:pPr>
      <w:r>
        <w:rPr/>
      </w:r>
      <w:r>
        <w:br w:type="page"/>
      </w:r>
    </w:p>
    <w:p>
      <w:pPr>
        <w:pStyle w:val="Titre1"/>
        <w:rPr/>
      </w:pPr>
      <w:r>
        <w:rPr/>
        <w:t>Draft proposal for SCF</w:t>
      </w:r>
    </w:p>
    <w:p>
      <w:pPr>
        <w:pStyle w:val="Textbody"/>
        <w:jc w:val="both"/>
        <w:rPr/>
      </w:pPr>
      <w:r>
        <w:rPr/>
        <w:t>Stock assessment models typically rely on the estimates of total catch across all harvesting countries, partitioned by some demographic variables like age or length groups. These models typically also require mean weights by the same demographic groups. The aggregated result that result from stock coordination therefore fits the general definition of fish domains that we have developed for the RCEF format. In some cases, the assessment models may rely on estimates by activity domains. For instance, if selectivity functions need to be fitted by gear groups or when higher spatial or temporal resolution is desired. Such domains are also representable in RCEF.</w:t>
      </w:r>
    </w:p>
    <w:p>
      <w:pPr>
        <w:pStyle w:val="Textbody"/>
        <w:jc w:val="both"/>
        <w:rPr/>
      </w:pPr>
      <w:r>
        <w:rPr/>
        <w:t>Contrary to RCEF, inputs to assessments are not usually desired to be provided separately by country, catch categories or reporting categories. Thus, the main difference in requirements is that the domains should be represented across the frame variables. It is also not clear to us if the provision of effort has a natural place in classical assessment modeling.</w:t>
      </w:r>
    </w:p>
    <w:p>
      <w:pPr>
        <w:pStyle w:val="Textbody"/>
        <w:rPr/>
      </w:pPr>
      <w:r>
        <w:rPr/>
        <w:t>We will therefore propose to define the SCF as the RCEF with some modifications:</w:t>
      </w:r>
    </w:p>
    <w:p>
      <w:pPr>
        <w:pStyle w:val="Textbody"/>
        <w:numPr>
          <w:ilvl w:val="0"/>
          <w:numId w:val="7"/>
        </w:numPr>
        <w:rPr/>
      </w:pPr>
      <w:r>
        <w:rPr/>
        <w:t>Only year and species are considered as frame fields</w:t>
      </w:r>
    </w:p>
    <w:p>
      <w:pPr>
        <w:pStyle w:val="Textbody"/>
        <w:numPr>
          <w:ilvl w:val="0"/>
          <w:numId w:val="7"/>
        </w:numPr>
        <w:jc w:val="both"/>
        <w:rPr/>
      </w:pPr>
      <w:r>
        <w:rPr/>
        <w:t>The fields vesselFlagCountry, reportingCategory, and catchCategory are given mandatory status P.</w:t>
      </w:r>
    </w:p>
    <w:p>
      <w:pPr>
        <w:pStyle w:val="Textbody"/>
        <w:numPr>
          <w:ilvl w:val="0"/>
          <w:numId w:val="7"/>
        </w:numPr>
        <w:rPr/>
      </w:pPr>
      <w:r>
        <w:rPr/>
        <w:t>The effort table is made optional.</w:t>
      </w:r>
    </w:p>
    <w:p>
      <w:pPr>
        <w:pStyle w:val="Textbody"/>
        <w:numPr>
          <w:ilvl w:val="0"/>
          <w:numId w:val="7"/>
        </w:numPr>
        <w:jc w:val="both"/>
        <w:rPr/>
      </w:pPr>
      <w:r>
        <w:rPr/>
        <w:t>Fields that are not aggregated (aggregatable) are removed (e.g., the sampling description fields: NumSamples, NumMeas, etc.) which are not strictly necessary, as they have mandatory status O in the RCEF.</w:t>
      </w:r>
    </w:p>
    <w:p>
      <w:pPr>
        <w:pStyle w:val="Titre1"/>
        <w:rPr/>
      </w:pPr>
      <w:r>
        <w:rPr/>
        <w:t>Issues</w:t>
      </w:r>
    </w:p>
    <w:p>
      <w:pPr>
        <w:pStyle w:val="Textbody"/>
        <w:jc w:val="both"/>
        <w:rPr/>
      </w:pPr>
      <w:r>
        <w:rPr/>
        <w:t>We believe we have identified a workable format that would satisfy our requirements, but have also in the process, identified a few issues that we have yet to resolve. Those are outlined below.</w:t>
      </w:r>
    </w:p>
    <w:p>
      <w:pPr>
        <w:pStyle w:val="Titre3"/>
        <w:rPr/>
      </w:pPr>
      <w:r>
        <w:rPr/>
        <w:t>Derived code lists</w:t>
      </w:r>
    </w:p>
    <w:p>
      <w:pPr>
        <w:pStyle w:val="Textbody"/>
        <w:jc w:val="both"/>
        <w:rPr/>
      </w:pPr>
      <w:r>
        <w:rPr/>
        <w:t>We have preliminary defined some variables with code-list associations that may need some further specification.</w:t>
      </w:r>
    </w:p>
    <w:p>
      <w:pPr>
        <w:pStyle w:val="Textbody"/>
        <w:jc w:val="both"/>
        <w:rPr/>
      </w:pPr>
      <w:r>
        <w:rPr/>
        <w:t>The field ‘speciesCode’ is defined as in CL, using the code list //vocab.ices.dk/?ref=365. In reality, only a small subset of this code list are species that are subject to stock coordination. If we want to avoid that frame fields are extended, as it may violate backwards compatibility, this subset may have to be formalized in a different code list or special rules for the ‘speciesCode’ field may have to be developed.</w:t>
      </w:r>
    </w:p>
    <w:p>
      <w:pPr>
        <w:pStyle w:val="Textbody"/>
        <w:jc w:val="both"/>
        <w:rPr/>
      </w:pPr>
      <w:r>
        <w:rPr/>
        <w:t xml:space="preserve">The fields ‘variable’ and ‘domainVariable’ is based on another code-list (https://vocab.ices.dk/?ref=1606), but explicitly refer to only a subset of those values (the numeric variables), and in the case of ‘variable’ it also defines one additional value (‘Abundance’). While it would be beneficial to automatically incorporate any new numeric variables that are added to the code list </w:t>
      </w:r>
      <w:hyperlink r:id="rId20">
        <w:r>
          <w:rPr/>
          <w:t>https://vocab.ices.dk/?ref=1606</w:t>
        </w:r>
      </w:hyperlink>
      <w:r>
        <w:rPr/>
        <w:t>, this could compromise the controlled vocabulary to simply connect the existing code list to these fields, and the value (‘Abundance’) is an awkward fit for this code-list when considering its other uses (BV-table).</w:t>
      </w:r>
    </w:p>
    <w:p>
      <w:pPr>
        <w:pStyle w:val="Titre3"/>
        <w:rPr/>
      </w:pPr>
      <w:r>
        <w:rPr/>
        <w:t>Reporting category and scientific values</w:t>
      </w:r>
    </w:p>
    <w:p>
      <w:pPr>
        <w:pStyle w:val="Textbody"/>
        <w:jc w:val="both"/>
        <w:rPr/>
      </w:pPr>
      <w:r>
        <w:rPr/>
        <w:t>There is some conceptual overlap between the frame field ‘reportingCategory’ and the concept of differentiating scientific weight from official weight. The use of scientific weight has been included to align with how these concepts has been treated in most other tables in RDBES, while the field ‘reportingCategory’ has been included to insure compatibility with ICEF. Since this is a frame variable it must be mandatory, and it would be worth exploring early in the process if the variable is necessary, or if the concepts it encodes are sufficiently captured by including both scientific and official weights.</w:t>
      </w:r>
    </w:p>
    <w:p>
      <w:pPr>
        <w:pStyle w:val="Titre3"/>
        <w:rPr/>
      </w:pPr>
      <w:r>
        <w:rPr/>
        <w:t>Fields with possible information loss</w:t>
      </w:r>
    </w:p>
    <w:p>
      <w:pPr>
        <w:pStyle w:val="Textbody"/>
        <w:jc w:val="both"/>
        <w:rPr/>
      </w:pPr>
      <w:r>
        <w:rPr/>
        <w:t>Our proposal for incorporating the sample descriptions for number of age and length measurements (‘NumSamples’, ‘NumMeas’) generalizes and clarifies the definitions a bit with respect to corresponding fields in the ICEF. However, this comes at a cost of not being able to report the number of age-samples and length-samples for the same domain. This represents a loss of information from ICEF and may have to be reconsidered.</w:t>
      </w:r>
    </w:p>
    <w:p>
      <w:pPr>
        <w:pStyle w:val="Textbody"/>
        <w:jc w:val="both"/>
        <w:rPr/>
      </w:pPr>
      <w:r>
        <w:rPr/>
        <w:t>Similarly, we have suggested combining the different free-text fields in ICEF (‘InfoFleet’, ‘InfoStockCoordinator’, and ‘InfoGeneral’) into one comment field (‘comment’) on the ESTIMATES (Table 1). We have not considered what we loose from relative to having three separate fields, or if any of them need to be available when estimates are not provided. If any of them need to be available for domains that estimates are not provided for, or if they just naturally relate to total catch rather than the estimates, they may be better modeled on  the CATCHES table (Table 3).</w:t>
      </w:r>
    </w:p>
    <w:p>
      <w:pPr>
        <w:pStyle w:val="Titre3"/>
        <w:rPr/>
      </w:pPr>
      <w:r>
        <w:rPr/>
        <w:t xml:space="preserve">Comparison of </w:t>
      </w:r>
      <w:r>
        <w:rPr>
          <w:rStyle w:val="Policepardfaut"/>
          <w:caps/>
        </w:rPr>
        <w:t>fishdomains</w:t>
      </w:r>
    </w:p>
    <w:p>
      <w:pPr>
        <w:pStyle w:val="Textbody"/>
        <w:jc w:val="both"/>
        <w:rPr/>
      </w:pPr>
      <w:r>
        <w:rPr/>
        <w:t xml:space="preserve">The current solution for supporting various length measurements and other numerical variables for each domain may encourage further definitions of fishdomains that are difficult to compare between data providers and submitters. We refer here to the fields ‘domainVariable’, ‘maxValue’, ‘minValue’ on FISHDOMAINS. Since these fields are mandatory, they will have to be introduced even if they are not needed. </w:t>
      </w:r>
    </w:p>
    <w:p>
      <w:pPr>
        <w:pStyle w:val="Textbody"/>
        <w:jc w:val="both"/>
        <w:rPr/>
      </w:pPr>
      <w:r>
        <w:rPr/>
        <w:t xml:space="preserve">As pointed out above, any variable can be added to a domain without changing its interpretation, as long as the range of values (minValue-maxValue) encompasses all relevant fish. This complicates comparisons between different fishdomain defintions as different data providers may add different variables and ranges to encode an otherwise equal or similar fish domain definition. </w:t>
      </w:r>
    </w:p>
    <w:p>
      <w:pPr>
        <w:pStyle w:val="Textbody"/>
        <w:jc w:val="both"/>
        <w:rPr/>
      </w:pPr>
      <w:r>
        <w:rPr/>
        <w:t>A similar concern arises for the definition of plus-groups. We would like to avoid that data providers must coordinate beyond what is defined in the format. Thus, this issue must be resolved. Possible options are introducing representations of +/- infinity to minValue and maxValue, and introducing a value to the code-list for ‘domainVariable’, to indicate that it is not used.</w:t>
      </w:r>
    </w:p>
    <w:p>
      <w:pPr>
        <w:pStyle w:val="Titre3"/>
        <w:rPr/>
      </w:pPr>
      <w:r>
        <w:rPr/>
        <w:t xml:space="preserve">Restriction on </w:t>
      </w:r>
      <w:r>
        <w:rPr>
          <w:rStyle w:val="Policepardfaut"/>
          <w:caps/>
        </w:rPr>
        <w:t>effort</w:t>
      </w:r>
    </w:p>
    <w:p>
      <w:pPr>
        <w:pStyle w:val="Textbody"/>
        <w:jc w:val="both"/>
        <w:rPr/>
      </w:pPr>
      <w:r>
        <w:rPr/>
        <w:t>The current proposal does not ensure that effort and catches are provided with the same activity domain fields. Totals cannot be provided for exactly the same partitions of fishing activity since they have different frame definitions, but it could be desirable to guarantee that total catches across species can be inferred for all rows on the effort table. We have not explored nor identified if such a restriction is necessary, but do assume that this should be considered.</w:t>
      </w:r>
    </w:p>
    <w:p>
      <w:pPr>
        <w:pStyle w:val="Titre3"/>
        <w:rPr/>
      </w:pPr>
      <w:r>
        <w:rPr/>
        <w:t>Converting underdefined fields</w:t>
      </w:r>
    </w:p>
    <w:p>
      <w:pPr>
        <w:pStyle w:val="Textbody"/>
        <w:jc w:val="both"/>
        <w:rPr/>
      </w:pPr>
      <w:r>
        <w:rPr/>
        <w:t>In some cases, ICEF does not completely define the fields and only leaves their exact interpretation on the conventional interpretations or decisions by stock coordinators. For instance, the length measurement is not explicitly encoded (total length, carapace length, etc.), and the unit for ‘SampledCatch’ is not strictly defined, but a decision is left to the stock coordinators. When converting ICEF files, this information must be provided alongside the data files. Since this information is necessary for using the data, we believe it makes sense to not support complete conversion if that information is unknown.</w:t>
      </w:r>
    </w:p>
    <w:p>
      <w:pPr>
        <w:pStyle w:val="Titre1"/>
        <w:rPr/>
      </w:pPr>
      <w:r>
        <w:rPr/>
        <w:t>Requirements and Rationale</w:t>
      </w:r>
    </w:p>
    <w:p>
      <w:pPr>
        <w:pStyle w:val="Textbody"/>
        <w:jc w:val="both"/>
        <w:rPr/>
      </w:pPr>
      <w:r>
        <w:rPr/>
        <w:t>We expect that the format will need to change as it is put to practical tests. We therefore want to document the rationale behind our decisions indicated here, so that compromises with later design decisions can be deliberate. We will summarize below considerations for each requirement:</w:t>
      </w:r>
    </w:p>
    <w:p>
      <w:pPr>
        <w:pStyle w:val="Standard"/>
        <w:jc w:val="both"/>
        <w:rPr>
          <w:i/>
          <w:i/>
          <w:iCs/>
        </w:rPr>
      </w:pPr>
      <w:r>
        <w:rPr>
          <w:i/>
          <w:iCs/>
        </w:rPr>
        <w:t>1. The exchange format should be compatible with the InterCatch exchange format. (Raise&amp;TAF 2022)</w:t>
      </w:r>
    </w:p>
    <w:p>
      <w:pPr>
        <w:pStyle w:val="Standard"/>
        <w:rPr/>
      </w:pPr>
      <w:r>
        <w:rPr/>
      </w:r>
    </w:p>
    <w:p>
      <w:pPr>
        <w:pStyle w:val="Standard"/>
        <w:jc w:val="both"/>
        <w:rPr/>
      </w:pPr>
      <w:r>
        <w:rPr/>
        <w:t>In order to accommodate this requirement, we have included necessary fields from the ICEF exchange format, which is the input format for InterCatch, which is therefore the most information-rich of the InterCatch formats we have considered. To ensure that the design decisions in InterCatch don’t unduly constrains the correct format, all these fields have been given mandatory status of P or O, except when they are frame fields.</w:t>
      </w:r>
    </w:p>
    <w:p>
      <w:pPr>
        <w:pStyle w:val="Standard"/>
        <w:rPr/>
      </w:pPr>
      <w:r>
        <w:rPr/>
      </w:r>
    </w:p>
    <w:p>
      <w:pPr>
        <w:pStyle w:val="Textbody"/>
        <w:jc w:val="both"/>
        <w:rPr/>
      </w:pPr>
      <w:r>
        <w:rPr/>
        <w:t>In considering the compatibility with ICEF, we have had some confirmations from the ICES secretariat that the following fields in ICEF need not be considered: DepthRange, Stock, QualityFlag, varCATON, varNumLanded, varWgtLanded, varLgtLanded. We also had confirmation that the LS-table described in the InterCatch exchange format documentation does not need to be supported.</w:t>
      </w:r>
    </w:p>
    <w:p>
      <w:pPr>
        <w:pStyle w:val="Standard"/>
        <w:rPr/>
      </w:pPr>
      <w:r>
        <w:rPr/>
      </w:r>
    </w:p>
    <w:p>
      <w:pPr>
        <w:pStyle w:val="Standard"/>
        <w:rPr>
          <w:i/>
          <w:i/>
          <w:iCs/>
        </w:rPr>
      </w:pPr>
      <w:r>
        <w:rPr>
          <w:i/>
          <w:iCs/>
        </w:rPr>
        <w:t>2. Format should be flexible, so that granularity in information can be decided for each use case. (Raise&amp;TAF 2022)</w:t>
      </w:r>
    </w:p>
    <w:p>
      <w:pPr>
        <w:pStyle w:val="Standard"/>
        <w:rPr/>
      </w:pPr>
      <w:r>
        <w:rPr/>
      </w:r>
    </w:p>
    <w:p>
      <w:pPr>
        <w:pStyle w:val="Standard"/>
        <w:jc w:val="both"/>
        <w:rPr/>
      </w:pPr>
      <w:r>
        <w:rPr/>
        <w:t>Here, the designs suggested were based on the way we specify domains such that domains can encompass any combination of activity-domain fields and any combination of valid values in those fields, as long as those fields are well defined and has a controlled vocabulary (code list). We believe that it is necessary to have this level of flexibility. We first considered a solution where only different fields could be combined (and not the values in the fields). That is, that one could choose if both quarter and gear should be part of the domain, but not choose to group different gear codes. We found that this solution left much to be desired, since the precense of only a few columns in a domain definition defined enough individual domains that it would be required to do imputation or missing values for sampling programs that covers domains proportional to weight of total catch.</w:t>
      </w:r>
    </w:p>
    <w:p>
      <w:pPr>
        <w:pStyle w:val="Standard"/>
        <w:rPr/>
      </w:pPr>
      <w:r>
        <w:rPr/>
      </w:r>
    </w:p>
    <w:p>
      <w:pPr>
        <w:pStyle w:val="Standard"/>
        <w:jc w:val="both"/>
        <w:rPr/>
      </w:pPr>
      <w:r>
        <w:rPr/>
        <w:t xml:space="preserve">Similar consideration applies for the fish domains. Including only flexibility in which biological measurements can be used to define domains, did not allow for the desired resolution in for instance maturity, where the domains of interest are often finer scaled than the entire maturity scale (e.g. only mature </w:t>
      </w:r>
      <w:r>
        <w:rPr>
          <w:rStyle w:val="Policepardfaut"/>
          <w:i/>
        </w:rPr>
        <w:t>vs</w:t>
      </w:r>
      <w:r>
        <w:rPr/>
        <w:t xml:space="preserve"> immature).</w:t>
      </w:r>
    </w:p>
    <w:p>
      <w:pPr>
        <w:pStyle w:val="Standard"/>
        <w:rPr/>
      </w:pPr>
      <w:r>
        <w:rPr/>
      </w:r>
    </w:p>
    <w:p>
      <w:pPr>
        <w:pStyle w:val="Standard"/>
        <w:jc w:val="both"/>
        <w:rPr/>
      </w:pPr>
      <w:r>
        <w:rPr/>
        <w:t>RDBES also allows for some heterogeneity in details. The maturation scale allows encoding to different precision levels (e.g. maturity “D” which overlaps with “Da” and “Db”), as does the metier6 table (e.g. “OTB_DEF_&gt;0_0_0” which overlaps with all the other OTB_DEF codes). This mechanism for grouping domains provides a way for also dealing with that kind of heterogeneity in estimation.</w:t>
      </w:r>
    </w:p>
    <w:p>
      <w:pPr>
        <w:pStyle w:val="Standard"/>
        <w:rPr/>
      </w:pPr>
      <w:r>
        <w:rPr/>
      </w:r>
    </w:p>
    <w:p>
      <w:pPr>
        <w:pStyle w:val="Standard"/>
        <w:rPr/>
      </w:pPr>
      <w:r>
        <w:rPr/>
        <w:t>Lastly, we have made all value fields optional such that we do not enforce estimation where it is not possible.</w:t>
      </w:r>
    </w:p>
    <w:p>
      <w:pPr>
        <w:pStyle w:val="Standard"/>
        <w:rPr/>
      </w:pPr>
      <w:r>
        <w:rPr/>
      </w:r>
    </w:p>
    <w:p>
      <w:pPr>
        <w:pStyle w:val="Standard"/>
        <w:jc w:val="both"/>
        <w:rPr>
          <w:i/>
          <w:i/>
          <w:iCs/>
        </w:rPr>
      </w:pPr>
      <w:r>
        <w:rPr>
          <w:i/>
          <w:iCs/>
        </w:rPr>
        <w:t>3. RCEF should have fields to convey uncertainty in estimates and quality of inference (Raise&amp;TAF 2022). These should be suitable for further processing. Particularly it should be possible to infer the variances for sums and weighted averages of domain estimates.</w:t>
      </w:r>
    </w:p>
    <w:p>
      <w:pPr>
        <w:pStyle w:val="Standard"/>
        <w:rPr/>
      </w:pPr>
      <w:r>
        <w:rPr/>
      </w:r>
    </w:p>
    <w:p>
      <w:pPr>
        <w:pStyle w:val="Standard"/>
        <w:jc w:val="both"/>
        <w:rPr/>
      </w:pPr>
      <w:r>
        <w:rPr/>
        <w:t>We have included variance of totals and means, which is possible to infer for sums and weighted averages. We have taken advantage of the generic nature of means, variance and totals estimates, by abstracting the variable that means and totals are provided for into a field (variable) in the ESTIMATES (Table 1). This was motivated by some proof-of-concept tests which showed that the aggregation of means needed different formulae than the aggregation of totals and variances.</w:t>
      </w:r>
    </w:p>
    <w:p>
      <w:pPr>
        <w:pStyle w:val="Standard"/>
        <w:rPr/>
      </w:pPr>
      <w:r>
        <w:rPr/>
      </w:r>
    </w:p>
    <w:p>
      <w:pPr>
        <w:pStyle w:val="Standard"/>
        <w:jc w:val="both"/>
        <w:rPr/>
      </w:pPr>
      <w:r>
        <w:rPr/>
        <w:t>The solution of abstracting the variable into a field rather than adding fields for each possible variable also provides the necessary flexibility for length measurements, as some stocks are assessed by total length, some by carapace length.</w:t>
      </w:r>
    </w:p>
    <w:p>
      <w:pPr>
        <w:pStyle w:val="Standard"/>
        <w:rPr/>
      </w:pPr>
      <w:r>
        <w:rPr/>
      </w:r>
    </w:p>
    <w:p>
      <w:pPr>
        <w:pStyle w:val="Standard"/>
        <w:jc w:val="both"/>
        <w:rPr/>
      </w:pPr>
      <w:r>
        <w:rPr/>
        <w:t>Some fields to convey the quality of estimates have been proposed as sampling descriptors of sample size and coverage. These have been included both by popular request and for compatibility purposes with InterCatch. However, they cannot be aggregated in their current form. A possible solution could be to define them as bounds rather than exact values. For instance, instead of numPSUs (The number of primary sampling units), we could provide minNumPSUs (the minimum number of sampling units). This is a straightforward way to aggregate when domains are aggregated by summation or weighted averages.</w:t>
      </w:r>
    </w:p>
    <w:p>
      <w:pPr>
        <w:pStyle w:val="Standard"/>
        <w:rPr/>
      </w:pPr>
      <w:r>
        <w:rPr/>
      </w:r>
    </w:p>
    <w:p>
      <w:pPr>
        <w:pStyle w:val="Standard"/>
        <w:rPr>
          <w:i/>
          <w:i/>
          <w:iCs/>
        </w:rPr>
      </w:pPr>
      <w:r>
        <w:rPr>
          <w:i/>
          <w:iCs/>
        </w:rPr>
        <w:t>4. format should be extensible and clearly versioned</w:t>
      </w:r>
    </w:p>
    <w:p>
      <w:pPr>
        <w:pStyle w:val="Standard"/>
        <w:rPr/>
      </w:pPr>
      <w:r>
        <w:rPr/>
      </w:r>
    </w:p>
    <w:p>
      <w:pPr>
        <w:pStyle w:val="Standard"/>
        <w:jc w:val="both"/>
        <w:rPr/>
      </w:pPr>
      <w:r>
        <w:rPr/>
        <w:t>We have designed mandatory statuses which together with a file format with named field, and a convention for how to deal with missing fields in a file can allow for extensibility.</w:t>
      </w:r>
    </w:p>
    <w:p>
      <w:pPr>
        <w:pStyle w:val="Standard"/>
        <w:rPr/>
      </w:pPr>
      <w:r>
        <w:rPr/>
      </w:r>
    </w:p>
    <w:p>
      <w:pPr>
        <w:pStyle w:val="Standard"/>
        <w:jc w:val="both"/>
        <w:rPr>
          <w:i/>
          <w:i/>
          <w:iCs/>
        </w:rPr>
      </w:pPr>
      <w:r>
        <w:rPr>
          <w:i/>
          <w:iCs/>
        </w:rPr>
        <w:t>5. The format should support finer domain definitions for some domains, in the same file as coarser domains, as long as there is no overlap between domains in the same file. E.g. Some domains may be specified by Area and Month, and some by Area and Quarter, but all domains specified by Month are from different quarters the those specified by Quarter. Similarly, some domains may be specified by SubArea, and others by Division or SubDivision. The latter example may apply within a specific country for the same catch category.</w:t>
      </w:r>
    </w:p>
    <w:p>
      <w:pPr>
        <w:pStyle w:val="Standard"/>
        <w:rPr/>
      </w:pPr>
      <w:r>
        <w:rPr/>
      </w:r>
    </w:p>
    <w:p>
      <w:pPr>
        <w:pStyle w:val="Standard"/>
        <w:rPr/>
      </w:pPr>
      <w:r>
        <w:rPr/>
        <w:t>The mechanism for specifying domains allows this.</w:t>
      </w:r>
    </w:p>
    <w:p>
      <w:pPr>
        <w:pStyle w:val="Standard"/>
        <w:rPr/>
      </w:pPr>
      <w:r>
        <w:rPr/>
      </w:r>
    </w:p>
    <w:p>
      <w:pPr>
        <w:pStyle w:val="Standard"/>
        <w:jc w:val="both"/>
        <w:rPr>
          <w:i/>
          <w:i/>
          <w:iCs/>
        </w:rPr>
      </w:pPr>
      <w:r>
        <w:rPr>
          <w:i/>
          <w:iCs/>
        </w:rPr>
        <w:t>6. The format should facilitate sum-of-product checks of the kinds performed in InterCatch today.</w:t>
      </w:r>
    </w:p>
    <w:p>
      <w:pPr>
        <w:pStyle w:val="Standard"/>
        <w:rPr/>
      </w:pPr>
      <w:r>
        <w:rPr/>
      </w:r>
    </w:p>
    <w:p>
      <w:pPr>
        <w:pStyle w:val="Standard"/>
        <w:jc w:val="both"/>
        <w:rPr/>
      </w:pPr>
      <w:r>
        <w:rPr/>
        <w:t>Since activity domains are defined by fields with controlled vocabulary and catch is provided for each combination of these fields, the sum of product checks are possible.</w:t>
      </w:r>
    </w:p>
    <w:p>
      <w:pPr>
        <w:pStyle w:val="Standard"/>
        <w:rPr/>
      </w:pPr>
      <w:r>
        <w:rPr/>
      </w:r>
    </w:p>
    <w:p>
      <w:pPr>
        <w:pStyle w:val="Standard"/>
        <w:rPr>
          <w:i/>
          <w:i/>
          <w:iCs/>
        </w:rPr>
      </w:pPr>
      <w:r>
        <w:rPr>
          <w:i/>
          <w:iCs/>
        </w:rPr>
        <w:t>7. The format should have clear declaration of the population that reported catch and effort is completely recorded for.</w:t>
      </w:r>
    </w:p>
    <w:p>
      <w:pPr>
        <w:pStyle w:val="Standard"/>
        <w:rPr/>
      </w:pPr>
      <w:r>
        <w:rPr/>
      </w:r>
    </w:p>
    <w:p>
      <w:pPr>
        <w:pStyle w:val="Standard"/>
        <w:jc w:val="both"/>
        <w:rPr/>
      </w:pPr>
      <w:r>
        <w:rPr/>
        <w:t>This can be enforced by the proposed format since all the frame variables are mandatory. It can be checked against the code lists whether complete declarations are provided for reporting effort and catch. The optional status of the weight field on CATCHES ensures that one can provide records even for catch categories that have unknown catch quantity, so that complete records can be provided also in this case.</w:t>
      </w:r>
    </w:p>
    <w:p>
      <w:pPr>
        <w:pStyle w:val="Textbody"/>
        <w:rPr>
          <w:shd w:fill="FFFF00" w:val="clear"/>
        </w:rPr>
      </w:pPr>
      <w:r>
        <w:rPr>
          <w:shd w:fill="FFFF00" w:val="clear"/>
        </w:rPr>
      </w:r>
    </w:p>
    <w:p>
      <w:pPr>
        <w:pStyle w:val="Standard"/>
        <w:jc w:val="both"/>
        <w:rPr/>
      </w:pPr>
      <w:r>
        <w:rPr>
          <w:rStyle w:val="Policepardfaut"/>
          <w:i/>
          <w:iCs/>
        </w:rPr>
        <w:t>8. The format must support defining domains, and report means, for age or various kinds of length measurements (total length, carapace length, etc.)</w:t>
      </w:r>
    </w:p>
    <w:p>
      <w:pPr>
        <w:pStyle w:val="Standard"/>
        <w:rPr>
          <w:shd w:fill="FFFF00" w:val="clear"/>
        </w:rPr>
      </w:pPr>
      <w:r>
        <w:rPr>
          <w:shd w:fill="FFFF00" w:val="clear"/>
        </w:rPr>
      </w:r>
    </w:p>
    <w:p>
      <w:pPr>
        <w:pStyle w:val="Standard"/>
        <w:jc w:val="both"/>
        <w:rPr/>
      </w:pPr>
      <w:r>
        <w:rPr/>
        <w:t xml:space="preserve">This is supported by the parameterization of the variable used to define domains (‘domainVariable’, ‘minValue’, and ‘maxValue’ on FISHDOMAINS) or report mean and totals (‘variable’ on ESTIMATES). This also provides ease of applying general estimation methods for stock coordination. However, we have identified some issues with these solutions that have yet to be resolved. We have also experimented with not having ‘domainVariable’ on FISHDOMAINS, and instead have fields like minLength, maxLength, minWeight, etc. This alternative did not provide a satisfactory result in terms of the heterogeneity of length measurements (total length </w:t>
      </w:r>
      <w:r>
        <w:rPr>
          <w:rStyle w:val="Policepardfaut"/>
          <w:i/>
        </w:rPr>
        <w:t>vs</w:t>
      </w:r>
      <w:r>
        <w:rPr/>
        <w:t xml:space="preserve"> carapace length, etc.).</w:t>
      </w:r>
    </w:p>
    <w:p>
      <w:pPr>
        <w:pStyle w:val="Titre1"/>
        <w:rPr/>
      </w:pPr>
      <w:r>
        <w:rPr/>
        <w:t>Example</w:t>
      </w:r>
    </w:p>
    <w:p>
      <w:pPr>
        <w:pStyle w:val="Textbody"/>
        <w:rPr/>
      </w:pPr>
      <w:r>
        <w:rPr/>
        <w:t>An example illustrating the proposal for RCEF is provided in Appendix 1.</w:t>
      </w:r>
    </w:p>
    <w:p>
      <w:pPr>
        <w:pStyle w:val="Textbody"/>
        <w:rPr/>
      </w:pPr>
      <w:r>
        <w:rPr/>
        <w:t>An example illustrating the proposal for SCF is provided in Appendix 2.</w:t>
      </w:r>
    </w:p>
    <w:p>
      <w:pPr>
        <w:pStyle w:val="Titre1"/>
        <w:rPr/>
      </w:pPr>
      <w:r>
        <w:rPr/>
        <w:t>Testing</w:t>
      </w:r>
    </w:p>
    <w:p>
      <w:pPr>
        <w:pStyle w:val="Textbody"/>
        <w:jc w:val="both"/>
        <w:rPr/>
      </w:pPr>
      <w:bookmarkStart w:id="0" w:name="_GoBack"/>
      <w:bookmarkEnd w:id="0"/>
      <w:r>
        <w:rPr/>
        <w:t xml:space="preserve">We have performed some minimal testing of InterCatch conversion files and some stock coordination-related tasks. A proof of concept for format conversion, aggregation of domains, imputation and sum-of-product-tests are provided at: </w:t>
      </w:r>
      <w:hyperlink r:id="rId21">
        <w:r>
          <w:rPr/>
          <w:t>https://github.com/edvinf/RCEF_tests</w:t>
        </w:r>
      </w:hyperlink>
      <w:r>
        <w:rPr/>
        <w:t>. These explorations have only been sufficient to verify that the concepts are viable. In order to ensure compatibility with InterCatch, extensive conversion tests should be performed on varied and real data.</w:t>
      </w:r>
    </w:p>
    <w:p>
      <w:pPr>
        <w:pStyle w:val="Overskrift1"/>
        <w:numPr>
          <w:ilvl w:val="0"/>
          <w:numId w:val="1"/>
        </w:numPr>
        <w:rPr>
          <w:shd w:fill="FFFF00" w:val="clear"/>
        </w:rPr>
      </w:pPr>
      <w:r>
        <w:rPr/>
        <w:t>References</w:t>
      </w:r>
    </w:p>
    <w:p>
      <w:pPr>
        <w:pStyle w:val="Brdtekst"/>
        <w:rPr>
          <w:shd w:fill="FFFF00" w:val="clear"/>
        </w:rPr>
      </w:pPr>
      <w:r>
        <w:rPr/>
        <w:t xml:space="preserve">ICES (2023). Second Workshop on Raising Data using the RDBES and TAF(WKRDBES Raise&amp;TAF2). ICES Scientific Reports. Report. </w:t>
      </w:r>
      <w:r>
        <w:rPr>
          <w:rStyle w:val="Internettlenke"/>
        </w:rPr>
        <w:t>https://doi.org/10.17895/ices.pub.24648546.v1</w:t>
      </w:r>
    </w:p>
    <w:p>
      <w:pPr>
        <w:pStyle w:val="Brdtekst"/>
        <w:rPr>
          <w:shd w:fill="FFFF00" w:val="clear"/>
        </w:rPr>
      </w:pPr>
      <w:r>
        <w:rPr/>
        <w:t>ICES (2022). Working Group on Governance of the Regional Database and Estimation System (WGRDBESGOV; outputs from 2021 meeting). ICES Business Reports. Report. https://doi.org/10.17895/ices.pub.21133372.v1</w:t>
      </w:r>
      <w:r>
        <w:br w:type="page"/>
      </w:r>
    </w:p>
    <w:p>
      <w:pPr>
        <w:pStyle w:val="Titre1"/>
        <w:rPr/>
      </w:pPr>
      <w:r>
        <w:rPr/>
        <w:t>Appendix 1 – Example RCEF</w:t>
      </w:r>
    </w:p>
    <w:p>
      <w:pPr>
        <w:pStyle w:val="Textbody"/>
        <w:rPr>
          <w:b/>
          <w:b/>
          <w:bCs/>
        </w:rPr>
      </w:pPr>
      <w:r>
        <w:rPr>
          <w:b/>
          <w:bCs/>
        </w:rPr>
        <w:t>Example CATCH:</w:t>
      </w:r>
    </w:p>
    <w:tbl>
      <w:tblPr>
        <w:tblW w:w="10780"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415"/>
        <w:gridCol w:w="476"/>
        <w:gridCol w:w="635"/>
        <w:gridCol w:w="791"/>
        <w:gridCol w:w="855"/>
        <w:gridCol w:w="566"/>
        <w:gridCol w:w="716"/>
        <w:gridCol w:w="1210"/>
        <w:gridCol w:w="1305"/>
        <w:gridCol w:w="1620"/>
        <w:gridCol w:w="1282"/>
        <w:gridCol w:w="908"/>
      </w:tblGrid>
      <w:tr>
        <w:trPr>
          <w:trHeight w:val="300" w:hRule="atLeast"/>
        </w:trPr>
        <w:tc>
          <w:tcPr>
            <w:tcW w:w="415" w:type="dxa"/>
            <w:tcBorders/>
            <w:shd w:color="auto" w:fill="auto" w:val="clear"/>
            <w:vAlign w:val="bottom"/>
          </w:tcPr>
          <w:p>
            <w:pPr>
              <w:pStyle w:val="Standard"/>
              <w:widowControl w:val="false"/>
              <w:rPr>
                <w:sz w:val="20"/>
                <w:szCs w:val="20"/>
              </w:rPr>
            </w:pPr>
            <w:r>
              <w:rPr>
                <w:sz w:val="20"/>
                <w:szCs w:val="20"/>
              </w:rPr>
              <w:t>ReportingCategory</w:t>
            </w:r>
          </w:p>
        </w:tc>
        <w:tc>
          <w:tcPr>
            <w:tcW w:w="476" w:type="dxa"/>
            <w:tcBorders/>
            <w:shd w:color="auto" w:fill="auto" w:val="clear"/>
            <w:vAlign w:val="bottom"/>
          </w:tcPr>
          <w:p>
            <w:pPr>
              <w:pStyle w:val="Standard"/>
              <w:widowControl w:val="false"/>
              <w:rPr>
                <w:sz w:val="20"/>
                <w:szCs w:val="20"/>
              </w:rPr>
            </w:pPr>
            <w:r>
              <w:rPr>
                <w:sz w:val="20"/>
                <w:szCs w:val="20"/>
              </w:rPr>
              <w:t>vesselFlagCountry</w:t>
            </w:r>
          </w:p>
        </w:tc>
        <w:tc>
          <w:tcPr>
            <w:tcW w:w="635" w:type="dxa"/>
            <w:tcBorders/>
            <w:shd w:color="auto" w:fill="auto" w:val="clear"/>
            <w:vAlign w:val="bottom"/>
          </w:tcPr>
          <w:p>
            <w:pPr>
              <w:pStyle w:val="Standard"/>
              <w:widowControl w:val="false"/>
              <w:rPr>
                <w:sz w:val="20"/>
                <w:szCs w:val="20"/>
              </w:rPr>
            </w:pPr>
            <w:r>
              <w:rPr>
                <w:sz w:val="20"/>
                <w:szCs w:val="20"/>
              </w:rPr>
              <w:t>year</w:t>
            </w:r>
          </w:p>
        </w:tc>
        <w:tc>
          <w:tcPr>
            <w:tcW w:w="791" w:type="dxa"/>
            <w:tcBorders/>
            <w:shd w:color="auto" w:fill="auto" w:val="clear"/>
            <w:vAlign w:val="bottom"/>
          </w:tcPr>
          <w:p>
            <w:pPr>
              <w:pStyle w:val="Standard"/>
              <w:widowControl w:val="false"/>
              <w:rPr>
                <w:sz w:val="20"/>
                <w:szCs w:val="20"/>
              </w:rPr>
            </w:pPr>
            <w:r>
              <w:rPr>
                <w:sz w:val="20"/>
                <w:szCs w:val="20"/>
              </w:rPr>
              <w:t>speciesCode</w:t>
            </w:r>
          </w:p>
        </w:tc>
        <w:tc>
          <w:tcPr>
            <w:tcW w:w="855" w:type="dxa"/>
            <w:tcBorders/>
            <w:shd w:color="auto" w:fill="auto" w:val="clear"/>
            <w:vAlign w:val="bottom"/>
          </w:tcPr>
          <w:p>
            <w:pPr>
              <w:pStyle w:val="Standard"/>
              <w:widowControl w:val="false"/>
              <w:rPr>
                <w:sz w:val="20"/>
                <w:szCs w:val="20"/>
              </w:rPr>
            </w:pPr>
            <w:r>
              <w:rPr>
                <w:sz w:val="20"/>
                <w:szCs w:val="20"/>
              </w:rPr>
              <w:t>catchCategory</w:t>
            </w:r>
          </w:p>
        </w:tc>
        <w:tc>
          <w:tcPr>
            <w:tcW w:w="566" w:type="dxa"/>
            <w:tcBorders/>
            <w:shd w:color="auto" w:fill="auto" w:val="clear"/>
            <w:vAlign w:val="bottom"/>
          </w:tcPr>
          <w:p>
            <w:pPr>
              <w:pStyle w:val="Standard"/>
              <w:widowControl w:val="false"/>
              <w:rPr>
                <w:sz w:val="20"/>
                <w:szCs w:val="20"/>
              </w:rPr>
            </w:pPr>
            <w:r>
              <w:rPr>
                <w:sz w:val="20"/>
                <w:szCs w:val="20"/>
              </w:rPr>
              <w:t>Quarter</w:t>
            </w:r>
          </w:p>
        </w:tc>
        <w:tc>
          <w:tcPr>
            <w:tcW w:w="716" w:type="dxa"/>
            <w:tcBorders/>
            <w:shd w:color="auto" w:fill="auto" w:val="clear"/>
            <w:vAlign w:val="bottom"/>
          </w:tcPr>
          <w:p>
            <w:pPr>
              <w:pStyle w:val="Standard"/>
              <w:widowControl w:val="false"/>
              <w:rPr>
                <w:sz w:val="20"/>
                <w:szCs w:val="20"/>
              </w:rPr>
            </w:pPr>
            <w:r>
              <w:rPr>
                <w:sz w:val="20"/>
                <w:szCs w:val="20"/>
              </w:rPr>
              <w:t>Month</w:t>
            </w:r>
          </w:p>
        </w:tc>
        <w:tc>
          <w:tcPr>
            <w:tcW w:w="1210" w:type="dxa"/>
            <w:tcBorders/>
            <w:shd w:color="auto" w:fill="auto" w:val="clear"/>
            <w:vAlign w:val="bottom"/>
          </w:tcPr>
          <w:p>
            <w:pPr>
              <w:pStyle w:val="Standard"/>
              <w:widowControl w:val="false"/>
              <w:rPr>
                <w:sz w:val="20"/>
                <w:szCs w:val="20"/>
              </w:rPr>
            </w:pPr>
            <w:r>
              <w:rPr>
                <w:sz w:val="20"/>
                <w:szCs w:val="20"/>
              </w:rPr>
              <w:t>area</w:t>
            </w:r>
          </w:p>
        </w:tc>
        <w:tc>
          <w:tcPr>
            <w:tcW w:w="1305" w:type="dxa"/>
            <w:tcBorders/>
            <w:shd w:color="auto" w:fill="auto" w:val="clear"/>
            <w:vAlign w:val="bottom"/>
          </w:tcPr>
          <w:p>
            <w:pPr>
              <w:pStyle w:val="Standard"/>
              <w:widowControl w:val="false"/>
              <w:rPr>
                <w:sz w:val="20"/>
                <w:szCs w:val="20"/>
              </w:rPr>
            </w:pPr>
            <w:r>
              <w:rPr>
                <w:sz w:val="20"/>
                <w:szCs w:val="20"/>
              </w:rPr>
              <w:t>metier6</w:t>
            </w:r>
          </w:p>
        </w:tc>
        <w:tc>
          <w:tcPr>
            <w:tcW w:w="1620" w:type="dxa"/>
            <w:tcBorders/>
            <w:shd w:color="auto" w:fill="auto" w:val="clear"/>
            <w:vAlign w:val="bottom"/>
          </w:tcPr>
          <w:p>
            <w:pPr>
              <w:pStyle w:val="Standard"/>
              <w:widowControl w:val="false"/>
              <w:rPr>
                <w:sz w:val="20"/>
                <w:szCs w:val="20"/>
              </w:rPr>
            </w:pPr>
            <w:r>
              <w:rPr>
                <w:sz w:val="20"/>
                <w:szCs w:val="20"/>
              </w:rPr>
              <w:t>Fleet</w:t>
            </w:r>
          </w:p>
        </w:tc>
        <w:tc>
          <w:tcPr>
            <w:tcW w:w="1282" w:type="dxa"/>
            <w:tcBorders/>
            <w:shd w:color="auto" w:fill="auto" w:val="clear"/>
            <w:vAlign w:val="bottom"/>
          </w:tcPr>
          <w:p>
            <w:pPr>
              <w:pStyle w:val="Standard"/>
              <w:widowControl w:val="false"/>
              <w:rPr>
                <w:sz w:val="20"/>
                <w:szCs w:val="20"/>
              </w:rPr>
            </w:pPr>
            <w:r>
              <w:rPr>
                <w:sz w:val="20"/>
                <w:szCs w:val="20"/>
              </w:rPr>
              <w:t>activityDomain</w:t>
            </w:r>
          </w:p>
        </w:tc>
        <w:tc>
          <w:tcPr>
            <w:tcW w:w="908" w:type="dxa"/>
            <w:tcBorders/>
            <w:shd w:color="auto" w:fill="auto" w:val="clear"/>
            <w:vAlign w:val="bottom"/>
          </w:tcPr>
          <w:p>
            <w:pPr>
              <w:pStyle w:val="Standard"/>
              <w:widowControl w:val="false"/>
              <w:rPr>
                <w:sz w:val="20"/>
                <w:szCs w:val="20"/>
              </w:rPr>
            </w:pPr>
            <w:r>
              <w:rPr>
                <w:sz w:val="20"/>
                <w:szCs w:val="20"/>
              </w:rPr>
              <w:t>officialWeight</w:t>
            </w:r>
          </w:p>
        </w:tc>
      </w:tr>
      <w:tr>
        <w:trPr>
          <w:trHeight w:val="256" w:hRule="atLeast"/>
        </w:trPr>
        <w:tc>
          <w:tcPr>
            <w:tcW w:w="415" w:type="dxa"/>
            <w:tcBorders/>
            <w:shd w:color="auto" w:fill="auto" w:val="clear"/>
            <w:vAlign w:val="bottom"/>
          </w:tcPr>
          <w:p>
            <w:pPr>
              <w:pStyle w:val="Standard"/>
              <w:widowControl w:val="false"/>
              <w:rPr>
                <w:sz w:val="20"/>
                <w:szCs w:val="20"/>
              </w:rPr>
            </w:pPr>
            <w:r>
              <w:rPr>
                <w:sz w:val="20"/>
                <w:szCs w:val="20"/>
              </w:rPr>
              <w:t>R</w:t>
            </w:r>
          </w:p>
        </w:tc>
        <w:tc>
          <w:tcPr>
            <w:tcW w:w="476" w:type="dxa"/>
            <w:tcBorders/>
            <w:shd w:color="auto" w:fill="auto" w:val="clear"/>
            <w:vAlign w:val="bottom"/>
          </w:tcPr>
          <w:p>
            <w:pPr>
              <w:pStyle w:val="Standard"/>
              <w:widowControl w:val="false"/>
              <w:rPr>
                <w:sz w:val="20"/>
                <w:szCs w:val="20"/>
              </w:rPr>
            </w:pPr>
            <w:r>
              <w:rPr>
                <w:sz w:val="20"/>
                <w:szCs w:val="20"/>
              </w:rPr>
              <w:t>NO</w:t>
            </w:r>
          </w:p>
        </w:tc>
        <w:tc>
          <w:tcPr>
            <w:tcW w:w="635" w:type="dxa"/>
            <w:tcBorders/>
            <w:shd w:color="auto" w:fill="auto" w:val="clear"/>
            <w:vAlign w:val="bottom"/>
          </w:tcPr>
          <w:p>
            <w:pPr>
              <w:pStyle w:val="Standard"/>
              <w:widowControl w:val="false"/>
              <w:jc w:val="right"/>
              <w:rPr>
                <w:sz w:val="20"/>
                <w:szCs w:val="20"/>
              </w:rPr>
            </w:pPr>
            <w:r>
              <w:rPr>
                <w:sz w:val="20"/>
                <w:szCs w:val="20"/>
              </w:rPr>
              <w:t>2019</w:t>
            </w:r>
          </w:p>
        </w:tc>
        <w:tc>
          <w:tcPr>
            <w:tcW w:w="791" w:type="dxa"/>
            <w:tcBorders/>
            <w:shd w:color="auto" w:fill="auto" w:val="clear"/>
            <w:vAlign w:val="bottom"/>
          </w:tcPr>
          <w:p>
            <w:pPr>
              <w:pStyle w:val="Standard"/>
              <w:widowControl w:val="false"/>
              <w:jc w:val="right"/>
              <w:rPr>
                <w:sz w:val="20"/>
                <w:szCs w:val="20"/>
              </w:rPr>
            </w:pPr>
            <w:r>
              <w:rPr>
                <w:sz w:val="20"/>
                <w:szCs w:val="20"/>
              </w:rPr>
              <w:t>126441</w:t>
            </w:r>
          </w:p>
        </w:tc>
        <w:tc>
          <w:tcPr>
            <w:tcW w:w="855" w:type="dxa"/>
            <w:tcBorders/>
            <w:shd w:color="auto" w:fill="auto" w:val="clear"/>
            <w:vAlign w:val="bottom"/>
          </w:tcPr>
          <w:p>
            <w:pPr>
              <w:pStyle w:val="Standard"/>
              <w:widowControl w:val="false"/>
              <w:rPr>
                <w:sz w:val="20"/>
                <w:szCs w:val="20"/>
              </w:rPr>
            </w:pPr>
            <w:r>
              <w:rPr>
                <w:sz w:val="20"/>
                <w:szCs w:val="20"/>
              </w:rPr>
              <w:t>Lan</w:t>
            </w:r>
          </w:p>
        </w:tc>
        <w:tc>
          <w:tcPr>
            <w:tcW w:w="566" w:type="dxa"/>
            <w:tcBorders/>
            <w:shd w:color="auto" w:fill="auto" w:val="clear"/>
            <w:vAlign w:val="bottom"/>
          </w:tcPr>
          <w:p>
            <w:pPr>
              <w:pStyle w:val="Standard"/>
              <w:widowControl w:val="false"/>
              <w:jc w:val="right"/>
              <w:rPr>
                <w:sz w:val="20"/>
                <w:szCs w:val="20"/>
              </w:rPr>
            </w:pPr>
            <w:r>
              <w:rPr>
                <w:sz w:val="20"/>
                <w:szCs w:val="20"/>
              </w:rPr>
              <w:t>1</w:t>
            </w:r>
          </w:p>
        </w:tc>
        <w:tc>
          <w:tcPr>
            <w:tcW w:w="716" w:type="dxa"/>
            <w:tcBorders/>
            <w:shd w:color="auto" w:fill="auto" w:val="clear"/>
            <w:vAlign w:val="bottom"/>
          </w:tcPr>
          <w:p>
            <w:pPr>
              <w:pStyle w:val="Standard"/>
              <w:widowControl w:val="false"/>
              <w:jc w:val="right"/>
              <w:rPr>
                <w:sz w:val="20"/>
                <w:szCs w:val="20"/>
              </w:rPr>
            </w:pPr>
            <w:r>
              <w:rPr>
                <w:sz w:val="20"/>
                <w:szCs w:val="20"/>
              </w:rPr>
              <w:t>1</w:t>
            </w:r>
          </w:p>
        </w:tc>
        <w:tc>
          <w:tcPr>
            <w:tcW w:w="1210" w:type="dxa"/>
            <w:tcBorders/>
            <w:shd w:color="auto" w:fill="auto" w:val="clear"/>
            <w:vAlign w:val="bottom"/>
          </w:tcPr>
          <w:p>
            <w:pPr>
              <w:pStyle w:val="Standard"/>
              <w:widowControl w:val="false"/>
              <w:rPr>
                <w:sz w:val="20"/>
                <w:szCs w:val="20"/>
              </w:rPr>
            </w:pPr>
            <w:r>
              <w:rPr>
                <w:sz w:val="20"/>
                <w:szCs w:val="20"/>
              </w:rPr>
              <w:t>27.4.a</w:t>
            </w:r>
          </w:p>
        </w:tc>
        <w:tc>
          <w:tcPr>
            <w:tcW w:w="1305" w:type="dxa"/>
            <w:tcBorders/>
            <w:shd w:color="auto" w:fill="auto" w:val="clear"/>
            <w:vAlign w:val="bottom"/>
          </w:tcPr>
          <w:p>
            <w:pPr>
              <w:pStyle w:val="Standard"/>
              <w:widowControl w:val="false"/>
              <w:rPr>
                <w:sz w:val="20"/>
                <w:szCs w:val="20"/>
              </w:rPr>
            </w:pPr>
            <w:r>
              <w:rPr>
                <w:sz w:val="20"/>
                <w:szCs w:val="20"/>
              </w:rPr>
              <w:t>OTB_DEF_&gt;=120_0_0_all</w:t>
            </w:r>
          </w:p>
        </w:tc>
        <w:tc>
          <w:tcPr>
            <w:tcW w:w="1620" w:type="dxa"/>
            <w:tcBorders/>
            <w:shd w:color="auto" w:fill="auto" w:val="clear"/>
            <w:vAlign w:val="bottom"/>
          </w:tcPr>
          <w:p>
            <w:pPr>
              <w:pStyle w:val="Standard"/>
              <w:widowControl w:val="false"/>
              <w:rPr>
                <w:sz w:val="20"/>
                <w:szCs w:val="20"/>
              </w:rPr>
            </w:pPr>
            <w:r>
              <w:rPr>
                <w:sz w:val="20"/>
                <w:szCs w:val="20"/>
              </w:rPr>
              <w:t>OTB_DEF_&gt;=120_0_0_all</w:t>
            </w:r>
          </w:p>
        </w:tc>
        <w:tc>
          <w:tcPr>
            <w:tcW w:w="1282" w:type="dxa"/>
            <w:tcBorders/>
            <w:shd w:color="auto" w:fill="auto" w:val="clear"/>
            <w:vAlign w:val="bottom"/>
          </w:tcPr>
          <w:p>
            <w:pPr>
              <w:pStyle w:val="Standard"/>
              <w:widowControl w:val="false"/>
              <w:rPr>
                <w:sz w:val="20"/>
                <w:szCs w:val="20"/>
              </w:rPr>
            </w:pPr>
            <w:r>
              <w:rPr>
                <w:sz w:val="20"/>
                <w:szCs w:val="20"/>
              </w:rPr>
              <w:t>Lan-Pok-Jan</w:t>
            </w:r>
          </w:p>
        </w:tc>
        <w:tc>
          <w:tcPr>
            <w:tcW w:w="908" w:type="dxa"/>
            <w:tcBorders/>
            <w:shd w:color="auto" w:fill="auto" w:val="clear"/>
            <w:vAlign w:val="bottom"/>
          </w:tcPr>
          <w:p>
            <w:pPr>
              <w:pStyle w:val="Standard"/>
              <w:widowControl w:val="false"/>
              <w:jc w:val="right"/>
              <w:rPr>
                <w:sz w:val="20"/>
                <w:szCs w:val="20"/>
              </w:rPr>
            </w:pPr>
            <w:r>
              <w:rPr>
                <w:sz w:val="20"/>
                <w:szCs w:val="20"/>
              </w:rPr>
              <w:t>3532000</w:t>
            </w:r>
          </w:p>
        </w:tc>
      </w:tr>
      <w:tr>
        <w:trPr>
          <w:trHeight w:val="256" w:hRule="atLeast"/>
        </w:trPr>
        <w:tc>
          <w:tcPr>
            <w:tcW w:w="415" w:type="dxa"/>
            <w:tcBorders/>
            <w:shd w:color="auto" w:fill="auto" w:val="clear"/>
            <w:vAlign w:val="bottom"/>
          </w:tcPr>
          <w:p>
            <w:pPr>
              <w:pStyle w:val="Standard"/>
              <w:widowControl w:val="false"/>
              <w:rPr>
                <w:sz w:val="20"/>
                <w:szCs w:val="20"/>
              </w:rPr>
            </w:pPr>
            <w:r>
              <w:rPr>
                <w:sz w:val="20"/>
                <w:szCs w:val="20"/>
              </w:rPr>
              <w:t>R</w:t>
            </w:r>
          </w:p>
        </w:tc>
        <w:tc>
          <w:tcPr>
            <w:tcW w:w="476" w:type="dxa"/>
            <w:tcBorders/>
            <w:shd w:color="auto" w:fill="auto" w:val="clear"/>
            <w:vAlign w:val="bottom"/>
          </w:tcPr>
          <w:p>
            <w:pPr>
              <w:pStyle w:val="Standard"/>
              <w:widowControl w:val="false"/>
              <w:rPr>
                <w:sz w:val="20"/>
                <w:szCs w:val="20"/>
              </w:rPr>
            </w:pPr>
            <w:r>
              <w:rPr>
                <w:sz w:val="20"/>
                <w:szCs w:val="20"/>
              </w:rPr>
              <w:t>NO</w:t>
            </w:r>
          </w:p>
        </w:tc>
        <w:tc>
          <w:tcPr>
            <w:tcW w:w="635" w:type="dxa"/>
            <w:tcBorders/>
            <w:shd w:color="auto" w:fill="auto" w:val="clear"/>
            <w:vAlign w:val="bottom"/>
          </w:tcPr>
          <w:p>
            <w:pPr>
              <w:pStyle w:val="Standard"/>
              <w:widowControl w:val="false"/>
              <w:jc w:val="right"/>
              <w:rPr>
                <w:sz w:val="20"/>
                <w:szCs w:val="20"/>
              </w:rPr>
            </w:pPr>
            <w:r>
              <w:rPr>
                <w:sz w:val="20"/>
                <w:szCs w:val="20"/>
              </w:rPr>
              <w:t>2019</w:t>
            </w:r>
          </w:p>
        </w:tc>
        <w:tc>
          <w:tcPr>
            <w:tcW w:w="791" w:type="dxa"/>
            <w:tcBorders/>
            <w:shd w:color="auto" w:fill="auto" w:val="clear"/>
            <w:vAlign w:val="bottom"/>
          </w:tcPr>
          <w:p>
            <w:pPr>
              <w:pStyle w:val="Standard"/>
              <w:widowControl w:val="false"/>
              <w:jc w:val="right"/>
              <w:rPr>
                <w:sz w:val="20"/>
                <w:szCs w:val="20"/>
              </w:rPr>
            </w:pPr>
            <w:r>
              <w:rPr>
                <w:sz w:val="20"/>
                <w:szCs w:val="20"/>
              </w:rPr>
              <w:t>126441</w:t>
            </w:r>
          </w:p>
        </w:tc>
        <w:tc>
          <w:tcPr>
            <w:tcW w:w="855" w:type="dxa"/>
            <w:tcBorders/>
            <w:shd w:color="auto" w:fill="auto" w:val="clear"/>
            <w:vAlign w:val="bottom"/>
          </w:tcPr>
          <w:p>
            <w:pPr>
              <w:pStyle w:val="Standard"/>
              <w:widowControl w:val="false"/>
              <w:rPr>
                <w:sz w:val="20"/>
                <w:szCs w:val="20"/>
              </w:rPr>
            </w:pPr>
            <w:r>
              <w:rPr>
                <w:sz w:val="20"/>
                <w:szCs w:val="20"/>
              </w:rPr>
              <w:t>Dis</w:t>
            </w:r>
          </w:p>
        </w:tc>
        <w:tc>
          <w:tcPr>
            <w:tcW w:w="566" w:type="dxa"/>
            <w:tcBorders/>
            <w:shd w:color="auto" w:fill="auto" w:val="clear"/>
            <w:vAlign w:val="bottom"/>
          </w:tcPr>
          <w:p>
            <w:pPr>
              <w:pStyle w:val="Standard"/>
              <w:widowControl w:val="false"/>
              <w:jc w:val="right"/>
              <w:rPr>
                <w:sz w:val="20"/>
                <w:szCs w:val="20"/>
              </w:rPr>
            </w:pPr>
            <w:r>
              <w:rPr>
                <w:sz w:val="20"/>
                <w:szCs w:val="20"/>
              </w:rPr>
              <w:t>1</w:t>
            </w:r>
          </w:p>
        </w:tc>
        <w:tc>
          <w:tcPr>
            <w:tcW w:w="716" w:type="dxa"/>
            <w:tcBorders/>
            <w:shd w:color="auto" w:fill="auto" w:val="clear"/>
            <w:vAlign w:val="bottom"/>
          </w:tcPr>
          <w:p>
            <w:pPr>
              <w:pStyle w:val="Standard"/>
              <w:widowControl w:val="false"/>
              <w:rPr>
                <w:sz w:val="20"/>
                <w:szCs w:val="20"/>
              </w:rPr>
            </w:pPr>
            <w:r>
              <w:rPr>
                <w:sz w:val="20"/>
                <w:szCs w:val="20"/>
              </w:rPr>
              <w:t>NA</w:t>
            </w:r>
          </w:p>
        </w:tc>
        <w:tc>
          <w:tcPr>
            <w:tcW w:w="1210" w:type="dxa"/>
            <w:tcBorders/>
            <w:shd w:color="auto" w:fill="auto" w:val="clear"/>
            <w:vAlign w:val="bottom"/>
          </w:tcPr>
          <w:p>
            <w:pPr>
              <w:pStyle w:val="Standard"/>
              <w:widowControl w:val="false"/>
              <w:rPr>
                <w:sz w:val="20"/>
                <w:szCs w:val="20"/>
              </w:rPr>
            </w:pPr>
            <w:r>
              <w:rPr>
                <w:sz w:val="20"/>
                <w:szCs w:val="20"/>
              </w:rPr>
              <w:t>27.4.a</w:t>
            </w:r>
          </w:p>
        </w:tc>
        <w:tc>
          <w:tcPr>
            <w:tcW w:w="1305" w:type="dxa"/>
            <w:tcBorders/>
            <w:shd w:color="auto" w:fill="auto" w:val="clear"/>
            <w:vAlign w:val="bottom"/>
          </w:tcPr>
          <w:p>
            <w:pPr>
              <w:pStyle w:val="Standard"/>
              <w:widowControl w:val="false"/>
              <w:rPr>
                <w:sz w:val="20"/>
                <w:szCs w:val="20"/>
              </w:rPr>
            </w:pPr>
            <w:r>
              <w:rPr>
                <w:sz w:val="20"/>
                <w:szCs w:val="20"/>
              </w:rPr>
              <w:t>OTB_DEF_&gt;=120_0_0_all</w:t>
            </w:r>
          </w:p>
        </w:tc>
        <w:tc>
          <w:tcPr>
            <w:tcW w:w="1620" w:type="dxa"/>
            <w:tcBorders/>
            <w:shd w:color="auto" w:fill="auto" w:val="clear"/>
            <w:vAlign w:val="bottom"/>
          </w:tcPr>
          <w:p>
            <w:pPr>
              <w:pStyle w:val="Standard"/>
              <w:widowControl w:val="false"/>
              <w:rPr>
                <w:sz w:val="20"/>
                <w:szCs w:val="20"/>
              </w:rPr>
            </w:pPr>
            <w:r>
              <w:rPr>
                <w:sz w:val="20"/>
                <w:szCs w:val="20"/>
              </w:rPr>
              <w:t>OTB_DEF_&gt;=120_0_0_all</w:t>
            </w:r>
          </w:p>
        </w:tc>
        <w:tc>
          <w:tcPr>
            <w:tcW w:w="1282" w:type="dxa"/>
            <w:tcBorders/>
            <w:shd w:color="auto" w:fill="auto" w:val="clear"/>
            <w:vAlign w:val="bottom"/>
          </w:tcPr>
          <w:p>
            <w:pPr>
              <w:pStyle w:val="Standard"/>
              <w:widowControl w:val="false"/>
              <w:rPr>
                <w:sz w:val="20"/>
                <w:szCs w:val="20"/>
              </w:rPr>
            </w:pPr>
            <w:r>
              <w:rPr>
                <w:sz w:val="20"/>
                <w:szCs w:val="20"/>
              </w:rPr>
              <w:t>Dis-Pok-Q1</w:t>
            </w:r>
          </w:p>
        </w:tc>
        <w:tc>
          <w:tcPr>
            <w:tcW w:w="908"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415" w:type="dxa"/>
            <w:tcBorders/>
            <w:shd w:color="auto" w:fill="auto" w:val="clear"/>
            <w:vAlign w:val="bottom"/>
          </w:tcPr>
          <w:p>
            <w:pPr>
              <w:pStyle w:val="Standard"/>
              <w:widowControl w:val="false"/>
              <w:rPr>
                <w:sz w:val="20"/>
                <w:szCs w:val="20"/>
              </w:rPr>
            </w:pPr>
            <w:r>
              <w:rPr>
                <w:sz w:val="20"/>
                <w:szCs w:val="20"/>
              </w:rPr>
              <w:t>R</w:t>
            </w:r>
          </w:p>
        </w:tc>
        <w:tc>
          <w:tcPr>
            <w:tcW w:w="476" w:type="dxa"/>
            <w:tcBorders/>
            <w:shd w:color="auto" w:fill="auto" w:val="clear"/>
            <w:vAlign w:val="bottom"/>
          </w:tcPr>
          <w:p>
            <w:pPr>
              <w:pStyle w:val="Standard"/>
              <w:widowControl w:val="false"/>
              <w:rPr>
                <w:sz w:val="20"/>
                <w:szCs w:val="20"/>
              </w:rPr>
            </w:pPr>
            <w:r>
              <w:rPr>
                <w:sz w:val="20"/>
                <w:szCs w:val="20"/>
              </w:rPr>
              <w:t>NO</w:t>
            </w:r>
          </w:p>
        </w:tc>
        <w:tc>
          <w:tcPr>
            <w:tcW w:w="635" w:type="dxa"/>
            <w:tcBorders/>
            <w:shd w:color="auto" w:fill="auto" w:val="clear"/>
            <w:vAlign w:val="bottom"/>
          </w:tcPr>
          <w:p>
            <w:pPr>
              <w:pStyle w:val="Standard"/>
              <w:widowControl w:val="false"/>
              <w:jc w:val="right"/>
              <w:rPr>
                <w:sz w:val="20"/>
                <w:szCs w:val="20"/>
              </w:rPr>
            </w:pPr>
            <w:r>
              <w:rPr>
                <w:sz w:val="20"/>
                <w:szCs w:val="20"/>
              </w:rPr>
              <w:t>2019</w:t>
            </w:r>
          </w:p>
        </w:tc>
        <w:tc>
          <w:tcPr>
            <w:tcW w:w="791" w:type="dxa"/>
            <w:tcBorders/>
            <w:shd w:color="auto" w:fill="auto" w:val="clear"/>
            <w:vAlign w:val="bottom"/>
          </w:tcPr>
          <w:p>
            <w:pPr>
              <w:pStyle w:val="Standard"/>
              <w:widowControl w:val="false"/>
              <w:jc w:val="right"/>
              <w:rPr>
                <w:sz w:val="20"/>
                <w:szCs w:val="20"/>
              </w:rPr>
            </w:pPr>
            <w:r>
              <w:rPr>
                <w:sz w:val="20"/>
                <w:szCs w:val="20"/>
              </w:rPr>
              <w:t>126441</w:t>
            </w:r>
          </w:p>
        </w:tc>
        <w:tc>
          <w:tcPr>
            <w:tcW w:w="855" w:type="dxa"/>
            <w:tcBorders/>
            <w:shd w:color="auto" w:fill="auto" w:val="clear"/>
            <w:vAlign w:val="bottom"/>
          </w:tcPr>
          <w:p>
            <w:pPr>
              <w:pStyle w:val="Standard"/>
              <w:widowControl w:val="false"/>
              <w:rPr>
                <w:sz w:val="20"/>
                <w:szCs w:val="20"/>
              </w:rPr>
            </w:pPr>
            <w:r>
              <w:rPr>
                <w:sz w:val="20"/>
                <w:szCs w:val="20"/>
              </w:rPr>
              <w:t>Dis</w:t>
            </w:r>
          </w:p>
        </w:tc>
        <w:tc>
          <w:tcPr>
            <w:tcW w:w="566" w:type="dxa"/>
            <w:tcBorders/>
            <w:shd w:color="auto" w:fill="auto" w:val="clear"/>
            <w:vAlign w:val="bottom"/>
          </w:tcPr>
          <w:p>
            <w:pPr>
              <w:pStyle w:val="Standard"/>
              <w:widowControl w:val="false"/>
              <w:jc w:val="right"/>
              <w:rPr>
                <w:sz w:val="20"/>
                <w:szCs w:val="20"/>
              </w:rPr>
            </w:pPr>
            <w:r>
              <w:rPr>
                <w:sz w:val="20"/>
                <w:szCs w:val="20"/>
              </w:rPr>
              <w:t>1</w:t>
            </w:r>
          </w:p>
        </w:tc>
        <w:tc>
          <w:tcPr>
            <w:tcW w:w="716" w:type="dxa"/>
            <w:tcBorders/>
            <w:shd w:color="auto" w:fill="auto" w:val="clear"/>
            <w:vAlign w:val="bottom"/>
          </w:tcPr>
          <w:p>
            <w:pPr>
              <w:pStyle w:val="Standard"/>
              <w:widowControl w:val="false"/>
              <w:rPr>
                <w:sz w:val="20"/>
                <w:szCs w:val="20"/>
              </w:rPr>
            </w:pPr>
            <w:r>
              <w:rPr>
                <w:sz w:val="20"/>
                <w:szCs w:val="20"/>
              </w:rPr>
              <w:t>NA</w:t>
            </w:r>
          </w:p>
        </w:tc>
        <w:tc>
          <w:tcPr>
            <w:tcW w:w="1210" w:type="dxa"/>
            <w:tcBorders/>
            <w:shd w:color="auto" w:fill="auto" w:val="clear"/>
            <w:vAlign w:val="bottom"/>
          </w:tcPr>
          <w:p>
            <w:pPr>
              <w:pStyle w:val="Standard"/>
              <w:widowControl w:val="false"/>
              <w:rPr>
                <w:sz w:val="20"/>
                <w:szCs w:val="20"/>
              </w:rPr>
            </w:pPr>
            <w:r>
              <w:rPr>
                <w:sz w:val="20"/>
                <w:szCs w:val="20"/>
              </w:rPr>
              <w:t>27.4.a</w:t>
            </w:r>
          </w:p>
        </w:tc>
        <w:tc>
          <w:tcPr>
            <w:tcW w:w="1305" w:type="dxa"/>
            <w:tcBorders/>
            <w:shd w:color="auto" w:fill="auto" w:val="clear"/>
            <w:vAlign w:val="bottom"/>
          </w:tcPr>
          <w:p>
            <w:pPr>
              <w:pStyle w:val="Standard"/>
              <w:widowControl w:val="false"/>
              <w:rPr>
                <w:sz w:val="20"/>
                <w:szCs w:val="20"/>
              </w:rPr>
            </w:pPr>
            <w:r>
              <w:rPr>
                <w:sz w:val="20"/>
                <w:szCs w:val="20"/>
              </w:rPr>
              <w:t>GNS_DEF_&gt;=0_0_0_all</w:t>
            </w:r>
          </w:p>
        </w:tc>
        <w:tc>
          <w:tcPr>
            <w:tcW w:w="1620" w:type="dxa"/>
            <w:tcBorders/>
            <w:shd w:color="auto" w:fill="auto" w:val="clear"/>
            <w:vAlign w:val="bottom"/>
          </w:tcPr>
          <w:p>
            <w:pPr>
              <w:pStyle w:val="Standard"/>
              <w:widowControl w:val="false"/>
              <w:rPr>
                <w:sz w:val="20"/>
                <w:szCs w:val="20"/>
              </w:rPr>
            </w:pPr>
            <w:r>
              <w:rPr>
                <w:sz w:val="20"/>
                <w:szCs w:val="20"/>
              </w:rPr>
              <w:t>GNS_DEF_&gt;=0_0_0_all</w:t>
            </w:r>
          </w:p>
        </w:tc>
        <w:tc>
          <w:tcPr>
            <w:tcW w:w="1282" w:type="dxa"/>
            <w:tcBorders/>
            <w:shd w:color="auto" w:fill="auto" w:val="clear"/>
            <w:vAlign w:val="bottom"/>
          </w:tcPr>
          <w:p>
            <w:pPr>
              <w:pStyle w:val="Standard"/>
              <w:widowControl w:val="false"/>
              <w:rPr>
                <w:sz w:val="20"/>
                <w:szCs w:val="20"/>
              </w:rPr>
            </w:pPr>
            <w:r>
              <w:rPr>
                <w:sz w:val="20"/>
                <w:szCs w:val="20"/>
              </w:rPr>
              <w:t>Dis-Pok-Q1</w:t>
            </w:r>
          </w:p>
        </w:tc>
        <w:tc>
          <w:tcPr>
            <w:tcW w:w="908" w:type="dxa"/>
            <w:tcBorders/>
            <w:shd w:color="auto" w:fill="auto" w:val="clear"/>
            <w:vAlign w:val="bottom"/>
          </w:tcPr>
          <w:p>
            <w:pPr>
              <w:pStyle w:val="Standard"/>
              <w:widowControl w:val="false"/>
              <w:rPr>
                <w:sz w:val="20"/>
                <w:szCs w:val="20"/>
              </w:rPr>
            </w:pPr>
            <w:r>
              <w:rPr>
                <w:sz w:val="20"/>
                <w:szCs w:val="20"/>
              </w:rPr>
              <w:t>NA</w:t>
            </w:r>
          </w:p>
        </w:tc>
      </w:tr>
    </w:tbl>
    <w:p>
      <w:pPr>
        <w:pStyle w:val="Standard"/>
        <w:rPr>
          <w:i/>
          <w:i/>
          <w:iCs/>
        </w:rPr>
      </w:pPr>
      <w:r>
        <w:rPr>
          <w:i/>
          <w:iCs/>
        </w:rPr>
      </w:r>
    </w:p>
    <w:p>
      <w:pPr>
        <w:pStyle w:val="Standard"/>
        <w:jc w:val="both"/>
        <w:rPr>
          <w:i/>
          <w:i/>
          <w:iCs/>
        </w:rPr>
      </w:pPr>
      <w:r>
        <w:rPr>
          <w:i/>
          <w:iCs/>
        </w:rPr>
        <w:t>ActivityDomain has the same values for several discard-records, effectively grouping the two fleets OTB_DEF_&gt;=120_0_0_all and GNS_DEF_&gt;=0_0_0_all in the same domain.</w:t>
      </w:r>
    </w:p>
    <w:p>
      <w:pPr>
        <w:pStyle w:val="Standard"/>
        <w:rPr>
          <w:i/>
          <w:i/>
          <w:iCs/>
        </w:rPr>
      </w:pPr>
      <w:r>
        <w:rPr>
          <w:i/>
          <w:iCs/>
        </w:rPr>
      </w:r>
    </w:p>
    <w:p>
      <w:pPr>
        <w:pStyle w:val="Standard"/>
        <w:jc w:val="both"/>
        <w:rPr>
          <w:i/>
          <w:i/>
          <w:iCs/>
        </w:rPr>
      </w:pPr>
      <w:r>
        <w:rPr>
          <w:i/>
          <w:iCs/>
        </w:rPr>
        <w:t>Note that encoding Month as NA is OK for discards, and in keeping with the mandatory status P, because Discards are a different frame than landings (catchcategory is a frame variable)</w:t>
      </w:r>
    </w:p>
    <w:p>
      <w:pPr>
        <w:pStyle w:val="Standard"/>
        <w:rPr/>
      </w:pPr>
      <w:r>
        <w:rPr/>
      </w:r>
    </w:p>
    <w:p>
      <w:pPr>
        <w:pStyle w:val="Textbody"/>
        <w:rPr>
          <w:b/>
          <w:b/>
          <w:bCs/>
        </w:rPr>
      </w:pPr>
      <w:r>
        <w:rPr>
          <w:b/>
          <w:bCs/>
        </w:rPr>
        <w:t>Example FISHDOMAINS:</w:t>
      </w:r>
    </w:p>
    <w:tbl>
      <w:tblPr>
        <w:tblW w:w="9563"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678"/>
        <w:gridCol w:w="756"/>
        <w:gridCol w:w="818"/>
        <w:gridCol w:w="1278"/>
        <w:gridCol w:w="1282"/>
        <w:gridCol w:w="1278"/>
        <w:gridCol w:w="1109"/>
        <w:gridCol w:w="1084"/>
        <w:gridCol w:w="1279"/>
      </w:tblGrid>
      <w:tr>
        <w:trPr>
          <w:trHeight w:val="300" w:hRule="atLeast"/>
        </w:trPr>
        <w:tc>
          <w:tcPr>
            <w:tcW w:w="678" w:type="dxa"/>
            <w:tcBorders/>
            <w:shd w:color="auto" w:fill="auto" w:val="clear"/>
            <w:vAlign w:val="bottom"/>
          </w:tcPr>
          <w:p>
            <w:pPr>
              <w:pStyle w:val="Standard"/>
              <w:widowControl w:val="false"/>
              <w:rPr>
                <w:sz w:val="20"/>
                <w:szCs w:val="20"/>
              </w:rPr>
            </w:pPr>
            <w:r>
              <w:rPr>
                <w:sz w:val="20"/>
                <w:szCs w:val="20"/>
              </w:rPr>
              <w:t>ReportingCategory</w:t>
            </w:r>
          </w:p>
        </w:tc>
        <w:tc>
          <w:tcPr>
            <w:tcW w:w="756" w:type="dxa"/>
            <w:tcBorders/>
            <w:shd w:color="auto" w:fill="auto" w:val="clear"/>
            <w:vAlign w:val="bottom"/>
          </w:tcPr>
          <w:p>
            <w:pPr>
              <w:pStyle w:val="Standard"/>
              <w:widowControl w:val="false"/>
              <w:rPr>
                <w:sz w:val="20"/>
                <w:szCs w:val="20"/>
              </w:rPr>
            </w:pPr>
            <w:r>
              <w:rPr>
                <w:sz w:val="20"/>
                <w:szCs w:val="20"/>
              </w:rPr>
              <w:t>vesselFlagCountry</w:t>
            </w:r>
          </w:p>
        </w:tc>
        <w:tc>
          <w:tcPr>
            <w:tcW w:w="818" w:type="dxa"/>
            <w:tcBorders/>
            <w:shd w:color="auto" w:fill="auto" w:val="clear"/>
            <w:vAlign w:val="bottom"/>
          </w:tcPr>
          <w:p>
            <w:pPr>
              <w:pStyle w:val="Standard"/>
              <w:widowControl w:val="false"/>
              <w:rPr>
                <w:sz w:val="20"/>
                <w:szCs w:val="20"/>
              </w:rPr>
            </w:pPr>
            <w:r>
              <w:rPr>
                <w:sz w:val="20"/>
                <w:szCs w:val="20"/>
              </w:rPr>
              <w:t>year</w:t>
            </w:r>
          </w:p>
        </w:tc>
        <w:tc>
          <w:tcPr>
            <w:tcW w:w="1278" w:type="dxa"/>
            <w:tcBorders/>
            <w:shd w:color="auto" w:fill="auto" w:val="clear"/>
            <w:vAlign w:val="bottom"/>
          </w:tcPr>
          <w:p>
            <w:pPr>
              <w:pStyle w:val="Standard"/>
              <w:widowControl w:val="false"/>
              <w:rPr>
                <w:sz w:val="20"/>
                <w:szCs w:val="20"/>
              </w:rPr>
            </w:pPr>
            <w:r>
              <w:rPr>
                <w:sz w:val="20"/>
                <w:szCs w:val="20"/>
              </w:rPr>
              <w:t>speciesCode</w:t>
            </w:r>
          </w:p>
        </w:tc>
        <w:tc>
          <w:tcPr>
            <w:tcW w:w="1282" w:type="dxa"/>
            <w:tcBorders/>
            <w:shd w:color="auto" w:fill="auto" w:val="clear"/>
            <w:vAlign w:val="bottom"/>
          </w:tcPr>
          <w:p>
            <w:pPr>
              <w:pStyle w:val="Standard"/>
              <w:widowControl w:val="false"/>
              <w:rPr>
                <w:sz w:val="20"/>
                <w:szCs w:val="20"/>
              </w:rPr>
            </w:pPr>
            <w:r>
              <w:rPr>
                <w:sz w:val="20"/>
                <w:szCs w:val="20"/>
              </w:rPr>
              <w:t>catchCategory</w:t>
            </w:r>
          </w:p>
        </w:tc>
        <w:tc>
          <w:tcPr>
            <w:tcW w:w="1278" w:type="dxa"/>
            <w:tcBorders/>
            <w:shd w:color="auto" w:fill="auto" w:val="clear"/>
            <w:vAlign w:val="bottom"/>
          </w:tcPr>
          <w:p>
            <w:pPr>
              <w:pStyle w:val="Standard"/>
              <w:widowControl w:val="false"/>
              <w:rPr>
                <w:sz w:val="20"/>
                <w:szCs w:val="20"/>
              </w:rPr>
            </w:pPr>
            <w:r>
              <w:rPr>
                <w:sz w:val="20"/>
                <w:szCs w:val="20"/>
              </w:rPr>
              <w:t>domainVariable</w:t>
            </w:r>
          </w:p>
        </w:tc>
        <w:tc>
          <w:tcPr>
            <w:tcW w:w="1109" w:type="dxa"/>
            <w:tcBorders/>
            <w:shd w:color="auto" w:fill="auto" w:val="clear"/>
            <w:vAlign w:val="bottom"/>
          </w:tcPr>
          <w:p>
            <w:pPr>
              <w:pStyle w:val="Standard"/>
              <w:widowControl w:val="false"/>
              <w:rPr>
                <w:sz w:val="20"/>
                <w:szCs w:val="20"/>
              </w:rPr>
            </w:pPr>
            <w:r>
              <w:rPr>
                <w:sz w:val="20"/>
                <w:szCs w:val="20"/>
              </w:rPr>
              <w:t>MinValue</w:t>
            </w:r>
          </w:p>
        </w:tc>
        <w:tc>
          <w:tcPr>
            <w:tcW w:w="1084" w:type="dxa"/>
            <w:tcBorders/>
            <w:shd w:color="auto" w:fill="auto" w:val="clear"/>
            <w:vAlign w:val="bottom"/>
          </w:tcPr>
          <w:p>
            <w:pPr>
              <w:pStyle w:val="Standard"/>
              <w:widowControl w:val="false"/>
              <w:rPr>
                <w:sz w:val="20"/>
                <w:szCs w:val="20"/>
              </w:rPr>
            </w:pPr>
            <w:r>
              <w:rPr>
                <w:sz w:val="20"/>
                <w:szCs w:val="20"/>
              </w:rPr>
              <w:t>MaxValue</w:t>
            </w:r>
          </w:p>
        </w:tc>
        <w:tc>
          <w:tcPr>
            <w:tcW w:w="1279" w:type="dxa"/>
            <w:tcBorders/>
            <w:shd w:color="auto" w:fill="auto" w:val="clear"/>
            <w:vAlign w:val="bottom"/>
          </w:tcPr>
          <w:p>
            <w:pPr>
              <w:pStyle w:val="Standard"/>
              <w:widowControl w:val="false"/>
              <w:rPr>
                <w:sz w:val="20"/>
                <w:szCs w:val="20"/>
              </w:rPr>
            </w:pPr>
            <w:r>
              <w:rPr>
                <w:sz w:val="20"/>
                <w:szCs w:val="20"/>
              </w:rPr>
              <w:t>fishDomain</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1</w:t>
            </w:r>
          </w:p>
        </w:tc>
        <w:tc>
          <w:tcPr>
            <w:tcW w:w="1084" w:type="dxa"/>
            <w:tcBorders/>
            <w:shd w:color="auto" w:fill="auto" w:val="clear"/>
            <w:vAlign w:val="bottom"/>
          </w:tcPr>
          <w:p>
            <w:pPr>
              <w:pStyle w:val="Standard"/>
              <w:widowControl w:val="false"/>
              <w:jc w:val="right"/>
              <w:rPr>
                <w:sz w:val="20"/>
                <w:szCs w:val="20"/>
              </w:rPr>
            </w:pPr>
            <w:r>
              <w:rPr>
                <w:sz w:val="20"/>
                <w:szCs w:val="20"/>
              </w:rPr>
              <w:t>1</w:t>
            </w:r>
          </w:p>
        </w:tc>
        <w:tc>
          <w:tcPr>
            <w:tcW w:w="1279" w:type="dxa"/>
            <w:tcBorders/>
            <w:shd w:color="auto" w:fill="auto" w:val="clear"/>
            <w:vAlign w:val="bottom"/>
          </w:tcPr>
          <w:p>
            <w:pPr>
              <w:pStyle w:val="Standard"/>
              <w:widowControl w:val="false"/>
              <w:rPr>
                <w:sz w:val="20"/>
                <w:szCs w:val="20"/>
              </w:rPr>
            </w:pPr>
            <w:r>
              <w:rPr>
                <w:sz w:val="20"/>
                <w:szCs w:val="20"/>
              </w:rPr>
              <w:t>Age 1</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2</w:t>
            </w:r>
          </w:p>
        </w:tc>
        <w:tc>
          <w:tcPr>
            <w:tcW w:w="1084" w:type="dxa"/>
            <w:tcBorders/>
            <w:shd w:color="auto" w:fill="auto" w:val="clear"/>
            <w:vAlign w:val="bottom"/>
          </w:tcPr>
          <w:p>
            <w:pPr>
              <w:pStyle w:val="Standard"/>
              <w:widowControl w:val="false"/>
              <w:jc w:val="right"/>
              <w:rPr>
                <w:sz w:val="20"/>
                <w:szCs w:val="20"/>
              </w:rPr>
            </w:pPr>
            <w:r>
              <w:rPr>
                <w:sz w:val="20"/>
                <w:szCs w:val="20"/>
              </w:rPr>
              <w:t>2</w:t>
            </w:r>
          </w:p>
        </w:tc>
        <w:tc>
          <w:tcPr>
            <w:tcW w:w="1279" w:type="dxa"/>
            <w:tcBorders/>
            <w:shd w:color="auto" w:fill="auto" w:val="clear"/>
            <w:vAlign w:val="bottom"/>
          </w:tcPr>
          <w:p>
            <w:pPr>
              <w:pStyle w:val="Standard"/>
              <w:widowControl w:val="false"/>
              <w:rPr>
                <w:sz w:val="20"/>
                <w:szCs w:val="20"/>
              </w:rPr>
            </w:pPr>
            <w:r>
              <w:rPr>
                <w:sz w:val="20"/>
                <w:szCs w:val="20"/>
              </w:rPr>
              <w:t>Age 2</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3</w:t>
            </w:r>
          </w:p>
        </w:tc>
        <w:tc>
          <w:tcPr>
            <w:tcW w:w="1084" w:type="dxa"/>
            <w:tcBorders/>
            <w:shd w:color="auto" w:fill="auto" w:val="clear"/>
            <w:vAlign w:val="bottom"/>
          </w:tcPr>
          <w:p>
            <w:pPr>
              <w:pStyle w:val="Standard"/>
              <w:widowControl w:val="false"/>
              <w:jc w:val="right"/>
              <w:rPr>
                <w:sz w:val="20"/>
                <w:szCs w:val="20"/>
              </w:rPr>
            </w:pPr>
            <w:r>
              <w:rPr>
                <w:sz w:val="20"/>
                <w:szCs w:val="20"/>
              </w:rPr>
              <w:t>3</w:t>
            </w:r>
          </w:p>
        </w:tc>
        <w:tc>
          <w:tcPr>
            <w:tcW w:w="1279" w:type="dxa"/>
            <w:tcBorders/>
            <w:shd w:color="auto" w:fill="auto" w:val="clear"/>
            <w:vAlign w:val="bottom"/>
          </w:tcPr>
          <w:p>
            <w:pPr>
              <w:pStyle w:val="Standard"/>
              <w:widowControl w:val="false"/>
              <w:rPr>
                <w:sz w:val="20"/>
                <w:szCs w:val="20"/>
              </w:rPr>
            </w:pPr>
            <w:r>
              <w:rPr>
                <w:sz w:val="20"/>
                <w:szCs w:val="20"/>
              </w:rPr>
              <w:t>Age 3</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4</w:t>
            </w:r>
          </w:p>
        </w:tc>
        <w:tc>
          <w:tcPr>
            <w:tcW w:w="1084" w:type="dxa"/>
            <w:tcBorders/>
            <w:shd w:color="auto" w:fill="auto" w:val="clear"/>
            <w:vAlign w:val="bottom"/>
          </w:tcPr>
          <w:p>
            <w:pPr>
              <w:pStyle w:val="Standard"/>
              <w:widowControl w:val="false"/>
              <w:jc w:val="right"/>
              <w:rPr>
                <w:sz w:val="20"/>
                <w:szCs w:val="20"/>
              </w:rPr>
            </w:pPr>
            <w:r>
              <w:rPr>
                <w:sz w:val="20"/>
                <w:szCs w:val="20"/>
              </w:rPr>
              <w:t>4</w:t>
            </w:r>
          </w:p>
        </w:tc>
        <w:tc>
          <w:tcPr>
            <w:tcW w:w="1279" w:type="dxa"/>
            <w:tcBorders/>
            <w:shd w:color="auto" w:fill="auto" w:val="clear"/>
            <w:vAlign w:val="bottom"/>
          </w:tcPr>
          <w:p>
            <w:pPr>
              <w:pStyle w:val="Standard"/>
              <w:widowControl w:val="false"/>
              <w:rPr>
                <w:sz w:val="20"/>
                <w:szCs w:val="20"/>
              </w:rPr>
            </w:pPr>
            <w:r>
              <w:rPr>
                <w:sz w:val="20"/>
                <w:szCs w:val="20"/>
              </w:rPr>
              <w:t>Age 4</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5</w:t>
            </w:r>
          </w:p>
        </w:tc>
        <w:tc>
          <w:tcPr>
            <w:tcW w:w="1084" w:type="dxa"/>
            <w:tcBorders/>
            <w:shd w:color="auto" w:fill="auto" w:val="clear"/>
            <w:vAlign w:val="bottom"/>
          </w:tcPr>
          <w:p>
            <w:pPr>
              <w:pStyle w:val="Standard"/>
              <w:widowControl w:val="false"/>
              <w:jc w:val="right"/>
              <w:rPr>
                <w:sz w:val="20"/>
                <w:szCs w:val="20"/>
              </w:rPr>
            </w:pPr>
            <w:r>
              <w:rPr>
                <w:sz w:val="20"/>
                <w:szCs w:val="20"/>
              </w:rPr>
              <w:t>5</w:t>
            </w:r>
          </w:p>
        </w:tc>
        <w:tc>
          <w:tcPr>
            <w:tcW w:w="1279" w:type="dxa"/>
            <w:tcBorders/>
            <w:shd w:color="auto" w:fill="auto" w:val="clear"/>
            <w:vAlign w:val="bottom"/>
          </w:tcPr>
          <w:p>
            <w:pPr>
              <w:pStyle w:val="Standard"/>
              <w:widowControl w:val="false"/>
              <w:rPr>
                <w:sz w:val="20"/>
                <w:szCs w:val="20"/>
              </w:rPr>
            </w:pPr>
            <w:r>
              <w:rPr>
                <w:sz w:val="20"/>
                <w:szCs w:val="20"/>
              </w:rPr>
              <w:t>Age 5</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6</w:t>
            </w:r>
          </w:p>
        </w:tc>
        <w:tc>
          <w:tcPr>
            <w:tcW w:w="1084" w:type="dxa"/>
            <w:tcBorders/>
            <w:shd w:color="auto" w:fill="auto" w:val="clear"/>
            <w:vAlign w:val="bottom"/>
          </w:tcPr>
          <w:p>
            <w:pPr>
              <w:pStyle w:val="Standard"/>
              <w:widowControl w:val="false"/>
              <w:jc w:val="right"/>
              <w:rPr>
                <w:sz w:val="20"/>
                <w:szCs w:val="20"/>
              </w:rPr>
            </w:pPr>
            <w:r>
              <w:rPr>
                <w:sz w:val="20"/>
                <w:szCs w:val="20"/>
              </w:rPr>
              <w:t>6</w:t>
            </w:r>
          </w:p>
        </w:tc>
        <w:tc>
          <w:tcPr>
            <w:tcW w:w="1279" w:type="dxa"/>
            <w:tcBorders/>
            <w:shd w:color="auto" w:fill="auto" w:val="clear"/>
            <w:vAlign w:val="bottom"/>
          </w:tcPr>
          <w:p>
            <w:pPr>
              <w:pStyle w:val="Standard"/>
              <w:widowControl w:val="false"/>
              <w:rPr>
                <w:sz w:val="20"/>
                <w:szCs w:val="20"/>
              </w:rPr>
            </w:pPr>
            <w:r>
              <w:rPr>
                <w:sz w:val="20"/>
                <w:szCs w:val="20"/>
              </w:rPr>
              <w:t>Age 6</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7</w:t>
            </w:r>
          </w:p>
        </w:tc>
        <w:tc>
          <w:tcPr>
            <w:tcW w:w="1084" w:type="dxa"/>
            <w:tcBorders/>
            <w:shd w:color="auto" w:fill="auto" w:val="clear"/>
            <w:vAlign w:val="bottom"/>
          </w:tcPr>
          <w:p>
            <w:pPr>
              <w:pStyle w:val="Standard"/>
              <w:widowControl w:val="false"/>
              <w:jc w:val="right"/>
              <w:rPr>
                <w:sz w:val="20"/>
                <w:szCs w:val="20"/>
              </w:rPr>
            </w:pPr>
            <w:r>
              <w:rPr>
                <w:sz w:val="20"/>
                <w:szCs w:val="20"/>
              </w:rPr>
              <w:t>7</w:t>
            </w:r>
          </w:p>
        </w:tc>
        <w:tc>
          <w:tcPr>
            <w:tcW w:w="1279" w:type="dxa"/>
            <w:tcBorders/>
            <w:shd w:color="auto" w:fill="auto" w:val="clear"/>
            <w:vAlign w:val="bottom"/>
          </w:tcPr>
          <w:p>
            <w:pPr>
              <w:pStyle w:val="Standard"/>
              <w:widowControl w:val="false"/>
              <w:rPr>
                <w:sz w:val="20"/>
                <w:szCs w:val="20"/>
              </w:rPr>
            </w:pPr>
            <w:r>
              <w:rPr>
                <w:sz w:val="20"/>
                <w:szCs w:val="20"/>
              </w:rPr>
              <w:t>Age 7</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8</w:t>
            </w:r>
          </w:p>
        </w:tc>
        <w:tc>
          <w:tcPr>
            <w:tcW w:w="1084" w:type="dxa"/>
            <w:tcBorders/>
            <w:shd w:color="auto" w:fill="auto" w:val="clear"/>
            <w:vAlign w:val="bottom"/>
          </w:tcPr>
          <w:p>
            <w:pPr>
              <w:pStyle w:val="Standard"/>
              <w:widowControl w:val="false"/>
              <w:jc w:val="right"/>
              <w:rPr>
                <w:sz w:val="20"/>
                <w:szCs w:val="20"/>
              </w:rPr>
            </w:pPr>
            <w:r>
              <w:rPr>
                <w:sz w:val="20"/>
                <w:szCs w:val="20"/>
              </w:rPr>
              <w:t>8</w:t>
            </w:r>
          </w:p>
        </w:tc>
        <w:tc>
          <w:tcPr>
            <w:tcW w:w="1279" w:type="dxa"/>
            <w:tcBorders/>
            <w:shd w:color="auto" w:fill="auto" w:val="clear"/>
            <w:vAlign w:val="bottom"/>
          </w:tcPr>
          <w:p>
            <w:pPr>
              <w:pStyle w:val="Standard"/>
              <w:widowControl w:val="false"/>
              <w:rPr>
                <w:sz w:val="20"/>
                <w:szCs w:val="20"/>
              </w:rPr>
            </w:pPr>
            <w:r>
              <w:rPr>
                <w:sz w:val="20"/>
                <w:szCs w:val="20"/>
              </w:rPr>
              <w:t>Age 8</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9</w:t>
            </w:r>
          </w:p>
        </w:tc>
        <w:tc>
          <w:tcPr>
            <w:tcW w:w="1084" w:type="dxa"/>
            <w:tcBorders/>
            <w:shd w:color="auto" w:fill="auto" w:val="clear"/>
            <w:vAlign w:val="bottom"/>
          </w:tcPr>
          <w:p>
            <w:pPr>
              <w:pStyle w:val="Standard"/>
              <w:widowControl w:val="false"/>
              <w:jc w:val="right"/>
              <w:rPr>
                <w:sz w:val="20"/>
                <w:szCs w:val="20"/>
              </w:rPr>
            </w:pPr>
            <w:r>
              <w:rPr>
                <w:sz w:val="20"/>
                <w:szCs w:val="20"/>
              </w:rPr>
              <w:t>9</w:t>
            </w:r>
          </w:p>
        </w:tc>
        <w:tc>
          <w:tcPr>
            <w:tcW w:w="1279" w:type="dxa"/>
            <w:tcBorders/>
            <w:shd w:color="auto" w:fill="auto" w:val="clear"/>
            <w:vAlign w:val="bottom"/>
          </w:tcPr>
          <w:p>
            <w:pPr>
              <w:pStyle w:val="Standard"/>
              <w:widowControl w:val="false"/>
              <w:rPr>
                <w:sz w:val="20"/>
                <w:szCs w:val="20"/>
              </w:rPr>
            </w:pPr>
            <w:r>
              <w:rPr>
                <w:sz w:val="20"/>
                <w:szCs w:val="20"/>
              </w:rPr>
              <w:t>Age 9</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Lan</w:t>
            </w:r>
          </w:p>
        </w:tc>
        <w:tc>
          <w:tcPr>
            <w:tcW w:w="1278" w:type="dxa"/>
            <w:tcBorders/>
            <w:shd w:color="auto" w:fill="auto" w:val="clear"/>
            <w:vAlign w:val="bottom"/>
          </w:tcPr>
          <w:p>
            <w:pPr>
              <w:pStyle w:val="Standard"/>
              <w:widowControl w:val="false"/>
              <w:rPr>
                <w:sz w:val="20"/>
                <w:szCs w:val="20"/>
              </w:rPr>
            </w:pPr>
            <w:r>
              <w:rPr>
                <w:sz w:val="20"/>
                <w:szCs w:val="20"/>
              </w:rPr>
              <w:t>Age</w:t>
            </w:r>
          </w:p>
        </w:tc>
        <w:tc>
          <w:tcPr>
            <w:tcW w:w="1109" w:type="dxa"/>
            <w:tcBorders/>
            <w:shd w:color="auto" w:fill="auto" w:val="clear"/>
            <w:vAlign w:val="bottom"/>
          </w:tcPr>
          <w:p>
            <w:pPr>
              <w:pStyle w:val="Standard"/>
              <w:widowControl w:val="false"/>
              <w:jc w:val="right"/>
              <w:rPr>
                <w:sz w:val="20"/>
                <w:szCs w:val="20"/>
              </w:rPr>
            </w:pPr>
            <w:r>
              <w:rPr>
                <w:sz w:val="20"/>
                <w:szCs w:val="20"/>
              </w:rPr>
              <w:t>10</w:t>
            </w:r>
          </w:p>
        </w:tc>
        <w:tc>
          <w:tcPr>
            <w:tcW w:w="1084" w:type="dxa"/>
            <w:tcBorders/>
            <w:shd w:color="auto" w:fill="auto" w:val="clear"/>
            <w:vAlign w:val="bottom"/>
          </w:tcPr>
          <w:p>
            <w:pPr>
              <w:pStyle w:val="Standard"/>
              <w:widowControl w:val="false"/>
              <w:jc w:val="right"/>
              <w:rPr>
                <w:sz w:val="20"/>
                <w:szCs w:val="20"/>
              </w:rPr>
            </w:pPr>
            <w:r>
              <w:rPr>
                <w:sz w:val="20"/>
                <w:szCs w:val="20"/>
              </w:rPr>
              <w:t>50</w:t>
            </w:r>
          </w:p>
        </w:tc>
        <w:tc>
          <w:tcPr>
            <w:tcW w:w="1279" w:type="dxa"/>
            <w:tcBorders/>
            <w:shd w:color="auto" w:fill="auto" w:val="clear"/>
            <w:vAlign w:val="bottom"/>
          </w:tcPr>
          <w:p>
            <w:pPr>
              <w:pStyle w:val="Standard"/>
              <w:widowControl w:val="false"/>
              <w:rPr>
                <w:sz w:val="20"/>
                <w:szCs w:val="20"/>
              </w:rPr>
            </w:pPr>
            <w:r>
              <w:rPr>
                <w:sz w:val="20"/>
                <w:szCs w:val="20"/>
              </w:rPr>
              <w:t>Age 10+</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U</w:t>
            </w:r>
          </w:p>
        </w:tc>
        <w:tc>
          <w:tcPr>
            <w:tcW w:w="756"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Dis</w:t>
            </w:r>
          </w:p>
        </w:tc>
        <w:tc>
          <w:tcPr>
            <w:tcW w:w="1278" w:type="dxa"/>
            <w:tcBorders/>
            <w:shd w:color="auto" w:fill="auto" w:val="clear"/>
            <w:vAlign w:val="bottom"/>
          </w:tcPr>
          <w:p>
            <w:pPr>
              <w:pStyle w:val="Standard"/>
              <w:widowControl w:val="false"/>
              <w:rPr>
                <w:sz w:val="20"/>
                <w:szCs w:val="20"/>
              </w:rPr>
            </w:pPr>
            <w:r>
              <w:rPr>
                <w:sz w:val="20"/>
                <w:szCs w:val="20"/>
              </w:rPr>
              <w:t>LengthTotal</w:t>
            </w:r>
          </w:p>
        </w:tc>
        <w:tc>
          <w:tcPr>
            <w:tcW w:w="1109" w:type="dxa"/>
            <w:tcBorders/>
            <w:shd w:color="auto" w:fill="auto" w:val="clear"/>
            <w:vAlign w:val="bottom"/>
          </w:tcPr>
          <w:p>
            <w:pPr>
              <w:pStyle w:val="Standard"/>
              <w:widowControl w:val="false"/>
              <w:jc w:val="right"/>
              <w:rPr>
                <w:sz w:val="20"/>
                <w:szCs w:val="20"/>
              </w:rPr>
            </w:pPr>
            <w:r>
              <w:rPr>
                <w:sz w:val="20"/>
                <w:szCs w:val="20"/>
              </w:rPr>
              <w:t>0</w:t>
            </w:r>
          </w:p>
        </w:tc>
        <w:tc>
          <w:tcPr>
            <w:tcW w:w="1084" w:type="dxa"/>
            <w:tcBorders/>
            <w:shd w:color="auto" w:fill="auto" w:val="clear"/>
            <w:vAlign w:val="bottom"/>
          </w:tcPr>
          <w:p>
            <w:pPr>
              <w:pStyle w:val="Standard"/>
              <w:widowControl w:val="false"/>
              <w:jc w:val="right"/>
              <w:rPr>
                <w:sz w:val="20"/>
                <w:szCs w:val="20"/>
              </w:rPr>
            </w:pPr>
            <w:r>
              <w:rPr>
                <w:sz w:val="20"/>
                <w:szCs w:val="20"/>
              </w:rPr>
              <w:t>1,00E+10</w:t>
            </w:r>
          </w:p>
        </w:tc>
        <w:tc>
          <w:tcPr>
            <w:tcW w:w="1279" w:type="dxa"/>
            <w:tcBorders/>
            <w:shd w:color="auto" w:fill="auto" w:val="clear"/>
            <w:vAlign w:val="bottom"/>
          </w:tcPr>
          <w:p>
            <w:pPr>
              <w:pStyle w:val="Standard"/>
              <w:widowControl w:val="false"/>
              <w:rPr>
                <w:sz w:val="20"/>
                <w:szCs w:val="20"/>
              </w:rPr>
            </w:pPr>
            <w:r>
              <w:rPr>
                <w:sz w:val="20"/>
                <w:szCs w:val="20"/>
              </w:rPr>
              <w:t>Dis</w:t>
            </w:r>
          </w:p>
        </w:tc>
      </w:tr>
    </w:tbl>
    <w:p>
      <w:pPr>
        <w:pStyle w:val="Standard"/>
        <w:rPr/>
      </w:pPr>
      <w:r>
        <w:rPr/>
      </w:r>
    </w:p>
    <w:p>
      <w:pPr>
        <w:pStyle w:val="Standard"/>
        <w:rPr>
          <w:i/>
          <w:i/>
          <w:iCs/>
        </w:rPr>
      </w:pPr>
      <w:r>
        <w:rPr>
          <w:i/>
          <w:iCs/>
        </w:rPr>
        <w:t>Fishdomains are here just age groups, with a plus group, for landings, and all fish for discards. Note that the Min and MaxValue for discards effectively encode all fish, so that can be encoded even if fish is not measured.</w:t>
      </w:r>
    </w:p>
    <w:p>
      <w:pPr>
        <w:pStyle w:val="Standard"/>
        <w:rPr>
          <w:i/>
          <w:i/>
          <w:iCs/>
        </w:rPr>
      </w:pPr>
      <w:r>
        <w:rPr>
          <w:i/>
          <w:iCs/>
        </w:rPr>
      </w:r>
    </w:p>
    <w:p>
      <w:pPr>
        <w:pStyle w:val="Textbody"/>
        <w:rPr>
          <w:b/>
          <w:b/>
          <w:bCs/>
          <w:i/>
          <w:i/>
          <w:iCs/>
        </w:rPr>
      </w:pPr>
      <w:r>
        <w:rPr>
          <w:b/>
          <w:bCs/>
          <w:i/>
          <w:iCs/>
        </w:rPr>
        <w:t>Example FISHDOMAINS matrix:</w:t>
      </w:r>
    </w:p>
    <w:tbl>
      <w:tblPr>
        <w:tblW w:w="9563"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678"/>
        <w:gridCol w:w="757"/>
        <w:gridCol w:w="818"/>
        <w:gridCol w:w="1094"/>
        <w:gridCol w:w="1361"/>
        <w:gridCol w:w="1383"/>
        <w:gridCol w:w="879"/>
        <w:gridCol w:w="911"/>
        <w:gridCol w:w="1681"/>
      </w:tblGrid>
      <w:tr>
        <w:trPr>
          <w:trHeight w:val="300" w:hRule="atLeast"/>
        </w:trPr>
        <w:tc>
          <w:tcPr>
            <w:tcW w:w="678" w:type="dxa"/>
            <w:tcBorders/>
            <w:shd w:color="auto" w:fill="auto" w:val="clear"/>
            <w:vAlign w:val="bottom"/>
          </w:tcPr>
          <w:p>
            <w:pPr>
              <w:pStyle w:val="Standard"/>
              <w:widowControl w:val="false"/>
              <w:rPr>
                <w:sz w:val="20"/>
                <w:szCs w:val="20"/>
              </w:rPr>
            </w:pPr>
            <w:r>
              <w:rPr>
                <w:sz w:val="20"/>
                <w:szCs w:val="20"/>
              </w:rPr>
              <w:t>ReportingCategory</w:t>
            </w:r>
          </w:p>
        </w:tc>
        <w:tc>
          <w:tcPr>
            <w:tcW w:w="757" w:type="dxa"/>
            <w:tcBorders/>
            <w:shd w:color="auto" w:fill="auto" w:val="clear"/>
            <w:vAlign w:val="bottom"/>
          </w:tcPr>
          <w:p>
            <w:pPr>
              <w:pStyle w:val="Standard"/>
              <w:widowControl w:val="false"/>
              <w:rPr>
                <w:sz w:val="20"/>
                <w:szCs w:val="20"/>
              </w:rPr>
            </w:pPr>
            <w:r>
              <w:rPr>
                <w:sz w:val="20"/>
                <w:szCs w:val="20"/>
              </w:rPr>
              <w:t>vesselFlagCountry</w:t>
            </w:r>
          </w:p>
        </w:tc>
        <w:tc>
          <w:tcPr>
            <w:tcW w:w="818" w:type="dxa"/>
            <w:tcBorders/>
            <w:shd w:color="auto" w:fill="auto" w:val="clear"/>
            <w:vAlign w:val="bottom"/>
          </w:tcPr>
          <w:p>
            <w:pPr>
              <w:pStyle w:val="Standard"/>
              <w:widowControl w:val="false"/>
              <w:rPr>
                <w:sz w:val="20"/>
                <w:szCs w:val="20"/>
              </w:rPr>
            </w:pPr>
            <w:r>
              <w:rPr>
                <w:sz w:val="20"/>
                <w:szCs w:val="20"/>
              </w:rPr>
              <w:t>year</w:t>
            </w:r>
          </w:p>
        </w:tc>
        <w:tc>
          <w:tcPr>
            <w:tcW w:w="1094" w:type="dxa"/>
            <w:tcBorders/>
            <w:shd w:color="auto" w:fill="auto" w:val="clear"/>
            <w:vAlign w:val="bottom"/>
          </w:tcPr>
          <w:p>
            <w:pPr>
              <w:pStyle w:val="Standard"/>
              <w:widowControl w:val="false"/>
              <w:rPr>
                <w:sz w:val="20"/>
                <w:szCs w:val="20"/>
              </w:rPr>
            </w:pPr>
            <w:r>
              <w:rPr>
                <w:sz w:val="20"/>
                <w:szCs w:val="20"/>
              </w:rPr>
              <w:t>speciesCode</w:t>
            </w:r>
          </w:p>
        </w:tc>
        <w:tc>
          <w:tcPr>
            <w:tcW w:w="1361" w:type="dxa"/>
            <w:tcBorders/>
            <w:shd w:color="auto" w:fill="auto" w:val="clear"/>
            <w:vAlign w:val="bottom"/>
          </w:tcPr>
          <w:p>
            <w:pPr>
              <w:pStyle w:val="Standard"/>
              <w:widowControl w:val="false"/>
              <w:rPr>
                <w:sz w:val="20"/>
                <w:szCs w:val="20"/>
              </w:rPr>
            </w:pPr>
            <w:r>
              <w:rPr>
                <w:sz w:val="20"/>
                <w:szCs w:val="20"/>
              </w:rPr>
              <w:t>catchCategory</w:t>
            </w:r>
          </w:p>
        </w:tc>
        <w:tc>
          <w:tcPr>
            <w:tcW w:w="1383" w:type="dxa"/>
            <w:tcBorders/>
            <w:shd w:color="auto" w:fill="auto" w:val="clear"/>
            <w:vAlign w:val="bottom"/>
          </w:tcPr>
          <w:p>
            <w:pPr>
              <w:pStyle w:val="Standard"/>
              <w:widowControl w:val="false"/>
              <w:rPr>
                <w:sz w:val="20"/>
                <w:szCs w:val="20"/>
              </w:rPr>
            </w:pPr>
            <w:r>
              <w:rPr>
                <w:sz w:val="20"/>
                <w:szCs w:val="20"/>
              </w:rPr>
              <w:t>domainVariable</w:t>
            </w:r>
          </w:p>
        </w:tc>
        <w:tc>
          <w:tcPr>
            <w:tcW w:w="879" w:type="dxa"/>
            <w:tcBorders/>
            <w:shd w:color="auto" w:fill="auto" w:val="clear"/>
            <w:vAlign w:val="bottom"/>
          </w:tcPr>
          <w:p>
            <w:pPr>
              <w:pStyle w:val="Standard"/>
              <w:widowControl w:val="false"/>
              <w:rPr>
                <w:sz w:val="20"/>
                <w:szCs w:val="20"/>
              </w:rPr>
            </w:pPr>
            <w:r>
              <w:rPr>
                <w:sz w:val="20"/>
                <w:szCs w:val="20"/>
              </w:rPr>
              <w:t>MinValue</w:t>
            </w:r>
          </w:p>
        </w:tc>
        <w:tc>
          <w:tcPr>
            <w:tcW w:w="911" w:type="dxa"/>
            <w:tcBorders/>
            <w:shd w:color="auto" w:fill="auto" w:val="clear"/>
            <w:vAlign w:val="bottom"/>
          </w:tcPr>
          <w:p>
            <w:pPr>
              <w:pStyle w:val="Standard"/>
              <w:widowControl w:val="false"/>
              <w:rPr>
                <w:sz w:val="20"/>
                <w:szCs w:val="20"/>
              </w:rPr>
            </w:pPr>
            <w:r>
              <w:rPr>
                <w:sz w:val="20"/>
                <w:szCs w:val="20"/>
              </w:rPr>
              <w:t>Maxvalue</w:t>
            </w:r>
          </w:p>
        </w:tc>
        <w:tc>
          <w:tcPr>
            <w:tcW w:w="1681" w:type="dxa"/>
            <w:tcBorders/>
            <w:shd w:color="auto" w:fill="auto" w:val="clear"/>
            <w:vAlign w:val="bottom"/>
          </w:tcPr>
          <w:p>
            <w:pPr>
              <w:pStyle w:val="Standard"/>
              <w:widowControl w:val="false"/>
              <w:rPr>
                <w:sz w:val="20"/>
                <w:szCs w:val="20"/>
              </w:rPr>
            </w:pPr>
            <w:r>
              <w:rPr>
                <w:sz w:val="20"/>
                <w:szCs w:val="20"/>
              </w:rPr>
              <w:t>fishDomain</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7"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094" w:type="dxa"/>
            <w:tcBorders/>
            <w:shd w:color="auto" w:fill="auto" w:val="clear"/>
            <w:vAlign w:val="bottom"/>
          </w:tcPr>
          <w:p>
            <w:pPr>
              <w:pStyle w:val="Standard"/>
              <w:widowControl w:val="false"/>
              <w:jc w:val="right"/>
              <w:rPr>
                <w:sz w:val="20"/>
                <w:szCs w:val="20"/>
              </w:rPr>
            </w:pPr>
            <w:r>
              <w:rPr>
                <w:sz w:val="20"/>
                <w:szCs w:val="20"/>
              </w:rPr>
              <w:t>126441</w:t>
            </w:r>
          </w:p>
        </w:tc>
        <w:tc>
          <w:tcPr>
            <w:tcW w:w="1361" w:type="dxa"/>
            <w:tcBorders/>
            <w:shd w:color="auto" w:fill="auto" w:val="clear"/>
            <w:vAlign w:val="bottom"/>
          </w:tcPr>
          <w:p>
            <w:pPr>
              <w:pStyle w:val="Standard"/>
              <w:widowControl w:val="false"/>
              <w:rPr>
                <w:sz w:val="20"/>
                <w:szCs w:val="20"/>
              </w:rPr>
            </w:pPr>
            <w:r>
              <w:rPr>
                <w:sz w:val="20"/>
                <w:szCs w:val="20"/>
              </w:rPr>
              <w:t>Lan</w:t>
            </w:r>
          </w:p>
        </w:tc>
        <w:tc>
          <w:tcPr>
            <w:tcW w:w="1383" w:type="dxa"/>
            <w:tcBorders/>
            <w:shd w:color="auto" w:fill="auto" w:val="clear"/>
            <w:vAlign w:val="bottom"/>
          </w:tcPr>
          <w:p>
            <w:pPr>
              <w:pStyle w:val="Standard"/>
              <w:widowControl w:val="false"/>
              <w:rPr>
                <w:sz w:val="20"/>
                <w:szCs w:val="20"/>
              </w:rPr>
            </w:pPr>
            <w:r>
              <w:rPr>
                <w:sz w:val="20"/>
                <w:szCs w:val="20"/>
              </w:rPr>
              <w:t>Age</w:t>
            </w:r>
          </w:p>
        </w:tc>
        <w:tc>
          <w:tcPr>
            <w:tcW w:w="879" w:type="dxa"/>
            <w:tcBorders/>
            <w:shd w:color="auto" w:fill="auto" w:val="clear"/>
            <w:vAlign w:val="bottom"/>
          </w:tcPr>
          <w:p>
            <w:pPr>
              <w:pStyle w:val="Standard"/>
              <w:widowControl w:val="false"/>
              <w:jc w:val="right"/>
              <w:rPr>
                <w:sz w:val="20"/>
                <w:szCs w:val="20"/>
              </w:rPr>
            </w:pPr>
            <w:r>
              <w:rPr>
                <w:sz w:val="20"/>
                <w:szCs w:val="20"/>
              </w:rPr>
              <w:t>1</w:t>
            </w:r>
          </w:p>
        </w:tc>
        <w:tc>
          <w:tcPr>
            <w:tcW w:w="911" w:type="dxa"/>
            <w:tcBorders/>
            <w:shd w:color="auto" w:fill="auto" w:val="clear"/>
            <w:vAlign w:val="bottom"/>
          </w:tcPr>
          <w:p>
            <w:pPr>
              <w:pStyle w:val="Standard"/>
              <w:widowControl w:val="false"/>
              <w:jc w:val="right"/>
              <w:rPr>
                <w:sz w:val="20"/>
                <w:szCs w:val="20"/>
              </w:rPr>
            </w:pPr>
            <w:r>
              <w:rPr>
                <w:sz w:val="20"/>
                <w:szCs w:val="20"/>
              </w:rPr>
              <w:t>1</w:t>
            </w:r>
          </w:p>
        </w:tc>
        <w:tc>
          <w:tcPr>
            <w:tcW w:w="1681" w:type="dxa"/>
            <w:tcBorders/>
            <w:shd w:color="auto" w:fill="auto" w:val="clear"/>
            <w:vAlign w:val="bottom"/>
          </w:tcPr>
          <w:p>
            <w:pPr>
              <w:pStyle w:val="Standard"/>
              <w:widowControl w:val="false"/>
              <w:rPr>
                <w:sz w:val="20"/>
                <w:szCs w:val="20"/>
                <w:shd w:fill="00A933" w:val="clear"/>
              </w:rPr>
            </w:pPr>
            <w:r>
              <w:rPr>
                <w:sz w:val="20"/>
                <w:szCs w:val="20"/>
                <w:shd w:fill="00A933" w:val="clear"/>
              </w:rPr>
              <w:t>Age 1, 0-10 cm</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7"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094" w:type="dxa"/>
            <w:tcBorders/>
            <w:shd w:color="auto" w:fill="auto" w:val="clear"/>
            <w:vAlign w:val="bottom"/>
          </w:tcPr>
          <w:p>
            <w:pPr>
              <w:pStyle w:val="Standard"/>
              <w:widowControl w:val="false"/>
              <w:jc w:val="right"/>
              <w:rPr>
                <w:sz w:val="20"/>
                <w:szCs w:val="20"/>
              </w:rPr>
            </w:pPr>
            <w:r>
              <w:rPr>
                <w:sz w:val="20"/>
                <w:szCs w:val="20"/>
              </w:rPr>
              <w:t>126441</w:t>
            </w:r>
          </w:p>
        </w:tc>
        <w:tc>
          <w:tcPr>
            <w:tcW w:w="1361" w:type="dxa"/>
            <w:tcBorders/>
            <w:shd w:color="auto" w:fill="auto" w:val="clear"/>
            <w:vAlign w:val="bottom"/>
          </w:tcPr>
          <w:p>
            <w:pPr>
              <w:pStyle w:val="Standard"/>
              <w:widowControl w:val="false"/>
              <w:rPr>
                <w:sz w:val="20"/>
                <w:szCs w:val="20"/>
              </w:rPr>
            </w:pPr>
            <w:r>
              <w:rPr>
                <w:sz w:val="20"/>
                <w:szCs w:val="20"/>
              </w:rPr>
              <w:t>Lan</w:t>
            </w:r>
          </w:p>
        </w:tc>
        <w:tc>
          <w:tcPr>
            <w:tcW w:w="1383" w:type="dxa"/>
            <w:tcBorders/>
            <w:shd w:color="auto" w:fill="auto" w:val="clear"/>
            <w:vAlign w:val="bottom"/>
          </w:tcPr>
          <w:p>
            <w:pPr>
              <w:pStyle w:val="Standard"/>
              <w:widowControl w:val="false"/>
              <w:rPr>
                <w:sz w:val="20"/>
                <w:szCs w:val="20"/>
              </w:rPr>
            </w:pPr>
            <w:r>
              <w:rPr>
                <w:sz w:val="20"/>
                <w:szCs w:val="20"/>
              </w:rPr>
              <w:t>LengthTotal</w:t>
            </w:r>
          </w:p>
        </w:tc>
        <w:tc>
          <w:tcPr>
            <w:tcW w:w="879" w:type="dxa"/>
            <w:tcBorders/>
            <w:shd w:color="auto" w:fill="auto" w:val="clear"/>
            <w:vAlign w:val="bottom"/>
          </w:tcPr>
          <w:p>
            <w:pPr>
              <w:pStyle w:val="Standard"/>
              <w:widowControl w:val="false"/>
              <w:jc w:val="right"/>
              <w:rPr>
                <w:sz w:val="20"/>
                <w:szCs w:val="20"/>
              </w:rPr>
            </w:pPr>
            <w:r>
              <w:rPr>
                <w:sz w:val="20"/>
                <w:szCs w:val="20"/>
              </w:rPr>
              <w:t>0</w:t>
            </w:r>
          </w:p>
        </w:tc>
        <w:tc>
          <w:tcPr>
            <w:tcW w:w="911" w:type="dxa"/>
            <w:tcBorders/>
            <w:shd w:color="auto" w:fill="auto" w:val="clear"/>
            <w:vAlign w:val="bottom"/>
          </w:tcPr>
          <w:p>
            <w:pPr>
              <w:pStyle w:val="Standard"/>
              <w:widowControl w:val="false"/>
              <w:jc w:val="right"/>
              <w:rPr>
                <w:sz w:val="20"/>
                <w:szCs w:val="20"/>
              </w:rPr>
            </w:pPr>
            <w:r>
              <w:rPr>
                <w:sz w:val="20"/>
                <w:szCs w:val="20"/>
              </w:rPr>
              <w:t>100</w:t>
            </w:r>
          </w:p>
        </w:tc>
        <w:tc>
          <w:tcPr>
            <w:tcW w:w="1681" w:type="dxa"/>
            <w:tcBorders/>
            <w:shd w:color="auto" w:fill="auto" w:val="clear"/>
            <w:vAlign w:val="bottom"/>
          </w:tcPr>
          <w:p>
            <w:pPr>
              <w:pStyle w:val="Standard"/>
              <w:widowControl w:val="false"/>
              <w:rPr>
                <w:sz w:val="20"/>
                <w:szCs w:val="20"/>
                <w:shd w:fill="00A933" w:val="clear"/>
              </w:rPr>
            </w:pPr>
            <w:r>
              <w:rPr>
                <w:sz w:val="20"/>
                <w:szCs w:val="20"/>
                <w:shd w:fill="00A933" w:val="clear"/>
              </w:rPr>
              <w:t>Age 1, 0-10 cm</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7"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094" w:type="dxa"/>
            <w:tcBorders/>
            <w:shd w:color="auto" w:fill="auto" w:val="clear"/>
            <w:vAlign w:val="bottom"/>
          </w:tcPr>
          <w:p>
            <w:pPr>
              <w:pStyle w:val="Standard"/>
              <w:widowControl w:val="false"/>
              <w:jc w:val="right"/>
              <w:rPr>
                <w:sz w:val="20"/>
                <w:szCs w:val="20"/>
              </w:rPr>
            </w:pPr>
            <w:r>
              <w:rPr>
                <w:sz w:val="20"/>
                <w:szCs w:val="20"/>
              </w:rPr>
              <w:t>126441</w:t>
            </w:r>
          </w:p>
        </w:tc>
        <w:tc>
          <w:tcPr>
            <w:tcW w:w="1361" w:type="dxa"/>
            <w:tcBorders/>
            <w:shd w:color="auto" w:fill="auto" w:val="clear"/>
            <w:vAlign w:val="bottom"/>
          </w:tcPr>
          <w:p>
            <w:pPr>
              <w:pStyle w:val="Standard"/>
              <w:widowControl w:val="false"/>
              <w:rPr>
                <w:sz w:val="20"/>
                <w:szCs w:val="20"/>
              </w:rPr>
            </w:pPr>
            <w:r>
              <w:rPr>
                <w:sz w:val="20"/>
                <w:szCs w:val="20"/>
              </w:rPr>
              <w:t>Lan</w:t>
            </w:r>
          </w:p>
        </w:tc>
        <w:tc>
          <w:tcPr>
            <w:tcW w:w="1383" w:type="dxa"/>
            <w:tcBorders/>
            <w:shd w:color="auto" w:fill="auto" w:val="clear"/>
            <w:vAlign w:val="bottom"/>
          </w:tcPr>
          <w:p>
            <w:pPr>
              <w:pStyle w:val="Standard"/>
              <w:widowControl w:val="false"/>
              <w:rPr>
                <w:sz w:val="20"/>
                <w:szCs w:val="20"/>
              </w:rPr>
            </w:pPr>
            <w:r>
              <w:rPr>
                <w:sz w:val="20"/>
                <w:szCs w:val="20"/>
              </w:rPr>
              <w:t>Age</w:t>
            </w:r>
          </w:p>
        </w:tc>
        <w:tc>
          <w:tcPr>
            <w:tcW w:w="879" w:type="dxa"/>
            <w:tcBorders/>
            <w:shd w:color="auto" w:fill="auto" w:val="clear"/>
            <w:vAlign w:val="bottom"/>
          </w:tcPr>
          <w:p>
            <w:pPr>
              <w:pStyle w:val="Standard"/>
              <w:widowControl w:val="false"/>
              <w:jc w:val="right"/>
              <w:rPr>
                <w:sz w:val="20"/>
                <w:szCs w:val="20"/>
              </w:rPr>
            </w:pPr>
            <w:r>
              <w:rPr>
                <w:sz w:val="20"/>
                <w:szCs w:val="20"/>
              </w:rPr>
              <w:t>1</w:t>
            </w:r>
          </w:p>
        </w:tc>
        <w:tc>
          <w:tcPr>
            <w:tcW w:w="911" w:type="dxa"/>
            <w:tcBorders/>
            <w:shd w:color="auto" w:fill="auto" w:val="clear"/>
            <w:vAlign w:val="bottom"/>
          </w:tcPr>
          <w:p>
            <w:pPr>
              <w:pStyle w:val="Standard"/>
              <w:widowControl w:val="false"/>
              <w:jc w:val="right"/>
              <w:rPr>
                <w:sz w:val="20"/>
                <w:szCs w:val="20"/>
              </w:rPr>
            </w:pPr>
            <w:r>
              <w:rPr>
                <w:sz w:val="20"/>
                <w:szCs w:val="20"/>
              </w:rPr>
              <w:t>1</w:t>
            </w:r>
          </w:p>
        </w:tc>
        <w:tc>
          <w:tcPr>
            <w:tcW w:w="1681" w:type="dxa"/>
            <w:tcBorders/>
            <w:shd w:color="auto" w:fill="auto" w:val="clear"/>
            <w:vAlign w:val="bottom"/>
          </w:tcPr>
          <w:p>
            <w:pPr>
              <w:pStyle w:val="Standard"/>
              <w:widowControl w:val="false"/>
              <w:rPr>
                <w:sz w:val="20"/>
                <w:szCs w:val="20"/>
                <w:shd w:fill="81D41A" w:val="clear"/>
              </w:rPr>
            </w:pPr>
            <w:r>
              <w:rPr>
                <w:sz w:val="20"/>
                <w:szCs w:val="20"/>
                <w:shd w:fill="81D41A" w:val="clear"/>
              </w:rPr>
              <w:t>Age 1, 10-20 cm</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7"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094" w:type="dxa"/>
            <w:tcBorders/>
            <w:shd w:color="auto" w:fill="auto" w:val="clear"/>
            <w:vAlign w:val="bottom"/>
          </w:tcPr>
          <w:p>
            <w:pPr>
              <w:pStyle w:val="Standard"/>
              <w:widowControl w:val="false"/>
              <w:jc w:val="right"/>
              <w:rPr>
                <w:sz w:val="20"/>
                <w:szCs w:val="20"/>
              </w:rPr>
            </w:pPr>
            <w:r>
              <w:rPr>
                <w:sz w:val="20"/>
                <w:szCs w:val="20"/>
              </w:rPr>
              <w:t>126441</w:t>
            </w:r>
          </w:p>
        </w:tc>
        <w:tc>
          <w:tcPr>
            <w:tcW w:w="1361" w:type="dxa"/>
            <w:tcBorders/>
            <w:shd w:color="auto" w:fill="auto" w:val="clear"/>
            <w:vAlign w:val="bottom"/>
          </w:tcPr>
          <w:p>
            <w:pPr>
              <w:pStyle w:val="Standard"/>
              <w:widowControl w:val="false"/>
              <w:rPr>
                <w:sz w:val="20"/>
                <w:szCs w:val="20"/>
              </w:rPr>
            </w:pPr>
            <w:r>
              <w:rPr>
                <w:sz w:val="20"/>
                <w:szCs w:val="20"/>
              </w:rPr>
              <w:t>Lan</w:t>
            </w:r>
          </w:p>
        </w:tc>
        <w:tc>
          <w:tcPr>
            <w:tcW w:w="1383" w:type="dxa"/>
            <w:tcBorders/>
            <w:shd w:color="auto" w:fill="auto" w:val="clear"/>
            <w:vAlign w:val="bottom"/>
          </w:tcPr>
          <w:p>
            <w:pPr>
              <w:pStyle w:val="Standard"/>
              <w:widowControl w:val="false"/>
              <w:rPr>
                <w:sz w:val="20"/>
                <w:szCs w:val="20"/>
              </w:rPr>
            </w:pPr>
            <w:r>
              <w:rPr>
                <w:sz w:val="20"/>
                <w:szCs w:val="20"/>
              </w:rPr>
              <w:t>LengthTotal</w:t>
            </w:r>
          </w:p>
        </w:tc>
        <w:tc>
          <w:tcPr>
            <w:tcW w:w="879" w:type="dxa"/>
            <w:tcBorders/>
            <w:shd w:color="auto" w:fill="auto" w:val="clear"/>
            <w:vAlign w:val="bottom"/>
          </w:tcPr>
          <w:p>
            <w:pPr>
              <w:pStyle w:val="Standard"/>
              <w:widowControl w:val="false"/>
              <w:jc w:val="right"/>
              <w:rPr>
                <w:sz w:val="20"/>
                <w:szCs w:val="20"/>
              </w:rPr>
            </w:pPr>
            <w:r>
              <w:rPr>
                <w:sz w:val="20"/>
                <w:szCs w:val="20"/>
              </w:rPr>
              <w:t>100</w:t>
            </w:r>
          </w:p>
        </w:tc>
        <w:tc>
          <w:tcPr>
            <w:tcW w:w="911" w:type="dxa"/>
            <w:tcBorders/>
            <w:shd w:color="auto" w:fill="auto" w:val="clear"/>
            <w:vAlign w:val="bottom"/>
          </w:tcPr>
          <w:p>
            <w:pPr>
              <w:pStyle w:val="Standard"/>
              <w:widowControl w:val="false"/>
              <w:jc w:val="right"/>
              <w:rPr>
                <w:sz w:val="20"/>
                <w:szCs w:val="20"/>
              </w:rPr>
            </w:pPr>
            <w:r>
              <w:rPr>
                <w:sz w:val="20"/>
                <w:szCs w:val="20"/>
              </w:rPr>
              <w:t>200</w:t>
            </w:r>
          </w:p>
        </w:tc>
        <w:tc>
          <w:tcPr>
            <w:tcW w:w="1681" w:type="dxa"/>
            <w:tcBorders/>
            <w:shd w:color="auto" w:fill="auto" w:val="clear"/>
            <w:vAlign w:val="bottom"/>
          </w:tcPr>
          <w:p>
            <w:pPr>
              <w:pStyle w:val="Standard"/>
              <w:widowControl w:val="false"/>
              <w:rPr>
                <w:sz w:val="20"/>
                <w:szCs w:val="20"/>
                <w:shd w:fill="81D41A" w:val="clear"/>
              </w:rPr>
            </w:pPr>
            <w:r>
              <w:rPr>
                <w:sz w:val="20"/>
                <w:szCs w:val="20"/>
                <w:shd w:fill="81D41A" w:val="clear"/>
              </w:rPr>
              <w:t>Age 1, 10-20 cm</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7"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094" w:type="dxa"/>
            <w:tcBorders/>
            <w:shd w:color="auto" w:fill="auto" w:val="clear"/>
            <w:vAlign w:val="bottom"/>
          </w:tcPr>
          <w:p>
            <w:pPr>
              <w:pStyle w:val="Standard"/>
              <w:widowControl w:val="false"/>
              <w:jc w:val="right"/>
              <w:rPr>
                <w:sz w:val="20"/>
                <w:szCs w:val="20"/>
              </w:rPr>
            </w:pPr>
            <w:r>
              <w:rPr>
                <w:sz w:val="20"/>
                <w:szCs w:val="20"/>
              </w:rPr>
              <w:t>126441</w:t>
            </w:r>
          </w:p>
        </w:tc>
        <w:tc>
          <w:tcPr>
            <w:tcW w:w="1361" w:type="dxa"/>
            <w:tcBorders/>
            <w:shd w:color="auto" w:fill="auto" w:val="clear"/>
            <w:vAlign w:val="bottom"/>
          </w:tcPr>
          <w:p>
            <w:pPr>
              <w:pStyle w:val="Standard"/>
              <w:widowControl w:val="false"/>
              <w:rPr>
                <w:sz w:val="20"/>
                <w:szCs w:val="20"/>
              </w:rPr>
            </w:pPr>
            <w:r>
              <w:rPr>
                <w:sz w:val="20"/>
                <w:szCs w:val="20"/>
              </w:rPr>
              <w:t>Lan</w:t>
            </w:r>
          </w:p>
        </w:tc>
        <w:tc>
          <w:tcPr>
            <w:tcW w:w="1383" w:type="dxa"/>
            <w:tcBorders/>
            <w:shd w:color="auto" w:fill="auto" w:val="clear"/>
            <w:vAlign w:val="bottom"/>
          </w:tcPr>
          <w:p>
            <w:pPr>
              <w:pStyle w:val="Standard"/>
              <w:widowControl w:val="false"/>
              <w:rPr>
                <w:sz w:val="20"/>
                <w:szCs w:val="20"/>
              </w:rPr>
            </w:pPr>
            <w:r>
              <w:rPr>
                <w:sz w:val="20"/>
                <w:szCs w:val="20"/>
              </w:rPr>
              <w:t>Age</w:t>
            </w:r>
          </w:p>
        </w:tc>
        <w:tc>
          <w:tcPr>
            <w:tcW w:w="879" w:type="dxa"/>
            <w:tcBorders/>
            <w:shd w:color="auto" w:fill="auto" w:val="clear"/>
            <w:vAlign w:val="bottom"/>
          </w:tcPr>
          <w:p>
            <w:pPr>
              <w:pStyle w:val="Standard"/>
              <w:widowControl w:val="false"/>
              <w:jc w:val="right"/>
              <w:rPr>
                <w:sz w:val="20"/>
                <w:szCs w:val="20"/>
              </w:rPr>
            </w:pPr>
            <w:r>
              <w:rPr>
                <w:sz w:val="20"/>
                <w:szCs w:val="20"/>
              </w:rPr>
              <w:t>2</w:t>
            </w:r>
          </w:p>
        </w:tc>
        <w:tc>
          <w:tcPr>
            <w:tcW w:w="911" w:type="dxa"/>
            <w:tcBorders/>
            <w:shd w:color="auto" w:fill="auto" w:val="clear"/>
            <w:vAlign w:val="bottom"/>
          </w:tcPr>
          <w:p>
            <w:pPr>
              <w:pStyle w:val="Standard"/>
              <w:widowControl w:val="false"/>
              <w:jc w:val="right"/>
              <w:rPr>
                <w:sz w:val="20"/>
                <w:szCs w:val="20"/>
              </w:rPr>
            </w:pPr>
            <w:r>
              <w:rPr>
                <w:sz w:val="20"/>
                <w:szCs w:val="20"/>
              </w:rPr>
              <w:t>2</w:t>
            </w:r>
          </w:p>
        </w:tc>
        <w:tc>
          <w:tcPr>
            <w:tcW w:w="1681" w:type="dxa"/>
            <w:tcBorders/>
            <w:shd w:color="auto" w:fill="auto" w:val="clear"/>
            <w:vAlign w:val="bottom"/>
          </w:tcPr>
          <w:p>
            <w:pPr>
              <w:pStyle w:val="Standard"/>
              <w:widowControl w:val="false"/>
              <w:rPr>
                <w:sz w:val="20"/>
                <w:szCs w:val="20"/>
                <w:shd w:fill="5983B0" w:val="clear"/>
              </w:rPr>
            </w:pPr>
            <w:r>
              <w:rPr>
                <w:sz w:val="20"/>
                <w:szCs w:val="20"/>
                <w:shd w:fill="5983B0" w:val="clear"/>
              </w:rPr>
              <w:t>Age 2, 0-10 cm</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7"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094" w:type="dxa"/>
            <w:tcBorders/>
            <w:shd w:color="auto" w:fill="auto" w:val="clear"/>
            <w:vAlign w:val="bottom"/>
          </w:tcPr>
          <w:p>
            <w:pPr>
              <w:pStyle w:val="Standard"/>
              <w:widowControl w:val="false"/>
              <w:jc w:val="right"/>
              <w:rPr>
                <w:sz w:val="20"/>
                <w:szCs w:val="20"/>
              </w:rPr>
            </w:pPr>
            <w:r>
              <w:rPr>
                <w:sz w:val="20"/>
                <w:szCs w:val="20"/>
              </w:rPr>
              <w:t>126441</w:t>
            </w:r>
          </w:p>
        </w:tc>
        <w:tc>
          <w:tcPr>
            <w:tcW w:w="1361" w:type="dxa"/>
            <w:tcBorders/>
            <w:shd w:color="auto" w:fill="auto" w:val="clear"/>
            <w:vAlign w:val="bottom"/>
          </w:tcPr>
          <w:p>
            <w:pPr>
              <w:pStyle w:val="Standard"/>
              <w:widowControl w:val="false"/>
              <w:rPr>
                <w:sz w:val="20"/>
                <w:szCs w:val="20"/>
              </w:rPr>
            </w:pPr>
            <w:r>
              <w:rPr>
                <w:sz w:val="20"/>
                <w:szCs w:val="20"/>
              </w:rPr>
              <w:t>Lan</w:t>
            </w:r>
          </w:p>
        </w:tc>
        <w:tc>
          <w:tcPr>
            <w:tcW w:w="1383" w:type="dxa"/>
            <w:tcBorders/>
            <w:shd w:color="auto" w:fill="auto" w:val="clear"/>
            <w:vAlign w:val="bottom"/>
          </w:tcPr>
          <w:p>
            <w:pPr>
              <w:pStyle w:val="Standard"/>
              <w:widowControl w:val="false"/>
              <w:rPr>
                <w:sz w:val="20"/>
                <w:szCs w:val="20"/>
              </w:rPr>
            </w:pPr>
            <w:r>
              <w:rPr>
                <w:sz w:val="20"/>
                <w:szCs w:val="20"/>
              </w:rPr>
              <w:t>LengthTotal</w:t>
            </w:r>
          </w:p>
        </w:tc>
        <w:tc>
          <w:tcPr>
            <w:tcW w:w="879" w:type="dxa"/>
            <w:tcBorders/>
            <w:shd w:color="auto" w:fill="auto" w:val="clear"/>
            <w:vAlign w:val="bottom"/>
          </w:tcPr>
          <w:p>
            <w:pPr>
              <w:pStyle w:val="Standard"/>
              <w:widowControl w:val="false"/>
              <w:jc w:val="right"/>
              <w:rPr>
                <w:sz w:val="20"/>
                <w:szCs w:val="20"/>
              </w:rPr>
            </w:pPr>
            <w:r>
              <w:rPr>
                <w:sz w:val="20"/>
                <w:szCs w:val="20"/>
              </w:rPr>
              <w:t>0</w:t>
            </w:r>
          </w:p>
        </w:tc>
        <w:tc>
          <w:tcPr>
            <w:tcW w:w="911" w:type="dxa"/>
            <w:tcBorders/>
            <w:shd w:color="auto" w:fill="auto" w:val="clear"/>
            <w:vAlign w:val="bottom"/>
          </w:tcPr>
          <w:p>
            <w:pPr>
              <w:pStyle w:val="Standard"/>
              <w:widowControl w:val="false"/>
              <w:jc w:val="right"/>
              <w:rPr>
                <w:sz w:val="20"/>
                <w:szCs w:val="20"/>
              </w:rPr>
            </w:pPr>
            <w:r>
              <w:rPr>
                <w:sz w:val="20"/>
                <w:szCs w:val="20"/>
              </w:rPr>
              <w:t>100</w:t>
            </w:r>
          </w:p>
        </w:tc>
        <w:tc>
          <w:tcPr>
            <w:tcW w:w="1681" w:type="dxa"/>
            <w:tcBorders/>
            <w:shd w:color="auto" w:fill="auto" w:val="clear"/>
            <w:vAlign w:val="bottom"/>
          </w:tcPr>
          <w:p>
            <w:pPr>
              <w:pStyle w:val="Standard"/>
              <w:widowControl w:val="false"/>
              <w:rPr>
                <w:sz w:val="20"/>
                <w:szCs w:val="20"/>
                <w:shd w:fill="5983B0" w:val="clear"/>
              </w:rPr>
            </w:pPr>
            <w:r>
              <w:rPr>
                <w:sz w:val="20"/>
                <w:szCs w:val="20"/>
                <w:shd w:fill="5983B0" w:val="clear"/>
              </w:rPr>
              <w:t>Age 2, 0-10 cm</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7"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094" w:type="dxa"/>
            <w:tcBorders/>
            <w:shd w:color="auto" w:fill="auto" w:val="clear"/>
            <w:vAlign w:val="bottom"/>
          </w:tcPr>
          <w:p>
            <w:pPr>
              <w:pStyle w:val="Standard"/>
              <w:widowControl w:val="false"/>
              <w:jc w:val="right"/>
              <w:rPr>
                <w:sz w:val="20"/>
                <w:szCs w:val="20"/>
              </w:rPr>
            </w:pPr>
            <w:r>
              <w:rPr>
                <w:sz w:val="20"/>
                <w:szCs w:val="20"/>
              </w:rPr>
              <w:t>126441</w:t>
            </w:r>
          </w:p>
        </w:tc>
        <w:tc>
          <w:tcPr>
            <w:tcW w:w="1361" w:type="dxa"/>
            <w:tcBorders/>
            <w:shd w:color="auto" w:fill="auto" w:val="clear"/>
            <w:vAlign w:val="bottom"/>
          </w:tcPr>
          <w:p>
            <w:pPr>
              <w:pStyle w:val="Standard"/>
              <w:widowControl w:val="false"/>
              <w:rPr>
                <w:sz w:val="20"/>
                <w:szCs w:val="20"/>
              </w:rPr>
            </w:pPr>
            <w:r>
              <w:rPr>
                <w:sz w:val="20"/>
                <w:szCs w:val="20"/>
              </w:rPr>
              <w:t>Lan</w:t>
            </w:r>
          </w:p>
        </w:tc>
        <w:tc>
          <w:tcPr>
            <w:tcW w:w="1383" w:type="dxa"/>
            <w:tcBorders/>
            <w:shd w:color="auto" w:fill="auto" w:val="clear"/>
            <w:vAlign w:val="bottom"/>
          </w:tcPr>
          <w:p>
            <w:pPr>
              <w:pStyle w:val="Standard"/>
              <w:widowControl w:val="false"/>
              <w:rPr>
                <w:sz w:val="20"/>
                <w:szCs w:val="20"/>
              </w:rPr>
            </w:pPr>
            <w:r>
              <w:rPr>
                <w:sz w:val="20"/>
                <w:szCs w:val="20"/>
              </w:rPr>
              <w:t>Age</w:t>
            </w:r>
          </w:p>
        </w:tc>
        <w:tc>
          <w:tcPr>
            <w:tcW w:w="879" w:type="dxa"/>
            <w:tcBorders/>
            <w:shd w:color="auto" w:fill="auto" w:val="clear"/>
            <w:vAlign w:val="bottom"/>
          </w:tcPr>
          <w:p>
            <w:pPr>
              <w:pStyle w:val="Standard"/>
              <w:widowControl w:val="false"/>
              <w:jc w:val="right"/>
              <w:rPr>
                <w:sz w:val="20"/>
                <w:szCs w:val="20"/>
              </w:rPr>
            </w:pPr>
            <w:r>
              <w:rPr>
                <w:sz w:val="20"/>
                <w:szCs w:val="20"/>
              </w:rPr>
              <w:t>2</w:t>
            </w:r>
          </w:p>
        </w:tc>
        <w:tc>
          <w:tcPr>
            <w:tcW w:w="911" w:type="dxa"/>
            <w:tcBorders/>
            <w:shd w:color="auto" w:fill="auto" w:val="clear"/>
            <w:vAlign w:val="bottom"/>
          </w:tcPr>
          <w:p>
            <w:pPr>
              <w:pStyle w:val="Standard"/>
              <w:widowControl w:val="false"/>
              <w:jc w:val="right"/>
              <w:rPr>
                <w:sz w:val="20"/>
                <w:szCs w:val="20"/>
              </w:rPr>
            </w:pPr>
            <w:r>
              <w:rPr>
                <w:sz w:val="20"/>
                <w:szCs w:val="20"/>
              </w:rPr>
              <w:t>2</w:t>
            </w:r>
          </w:p>
        </w:tc>
        <w:tc>
          <w:tcPr>
            <w:tcW w:w="1681" w:type="dxa"/>
            <w:tcBorders/>
            <w:shd w:color="auto" w:fill="auto" w:val="clear"/>
            <w:vAlign w:val="bottom"/>
          </w:tcPr>
          <w:p>
            <w:pPr>
              <w:pStyle w:val="Standard"/>
              <w:widowControl w:val="false"/>
              <w:rPr>
                <w:sz w:val="20"/>
                <w:szCs w:val="20"/>
                <w:shd w:fill="B4C7DC" w:val="clear"/>
              </w:rPr>
            </w:pPr>
            <w:r>
              <w:rPr>
                <w:sz w:val="20"/>
                <w:szCs w:val="20"/>
                <w:shd w:fill="B4C7DC" w:val="clear"/>
              </w:rPr>
              <w:t>Age 2, 10-20 cm</w:t>
            </w:r>
          </w:p>
        </w:tc>
      </w:tr>
      <w:tr>
        <w:trPr>
          <w:trHeight w:val="256" w:hRule="atLeast"/>
        </w:trPr>
        <w:tc>
          <w:tcPr>
            <w:tcW w:w="678" w:type="dxa"/>
            <w:tcBorders/>
            <w:shd w:color="auto" w:fill="auto" w:val="clear"/>
            <w:vAlign w:val="bottom"/>
          </w:tcPr>
          <w:p>
            <w:pPr>
              <w:pStyle w:val="Standard"/>
              <w:widowControl w:val="false"/>
              <w:rPr>
                <w:sz w:val="20"/>
                <w:szCs w:val="20"/>
              </w:rPr>
            </w:pPr>
            <w:r>
              <w:rPr>
                <w:sz w:val="20"/>
                <w:szCs w:val="20"/>
              </w:rPr>
              <w:t>R</w:t>
            </w:r>
          </w:p>
        </w:tc>
        <w:tc>
          <w:tcPr>
            <w:tcW w:w="757" w:type="dxa"/>
            <w:tcBorders/>
            <w:shd w:color="auto" w:fill="auto" w:val="clear"/>
            <w:vAlign w:val="bottom"/>
          </w:tcPr>
          <w:p>
            <w:pPr>
              <w:pStyle w:val="Standard"/>
              <w:widowControl w:val="false"/>
              <w:rPr>
                <w:sz w:val="20"/>
                <w:szCs w:val="20"/>
              </w:rPr>
            </w:pPr>
            <w:r>
              <w:rPr>
                <w:sz w:val="20"/>
                <w:szCs w:val="20"/>
              </w:rPr>
              <w:t>NO</w:t>
            </w:r>
          </w:p>
        </w:tc>
        <w:tc>
          <w:tcPr>
            <w:tcW w:w="818" w:type="dxa"/>
            <w:tcBorders/>
            <w:shd w:color="auto" w:fill="auto" w:val="clear"/>
            <w:vAlign w:val="bottom"/>
          </w:tcPr>
          <w:p>
            <w:pPr>
              <w:pStyle w:val="Standard"/>
              <w:widowControl w:val="false"/>
              <w:jc w:val="right"/>
              <w:rPr>
                <w:sz w:val="20"/>
                <w:szCs w:val="20"/>
              </w:rPr>
            </w:pPr>
            <w:r>
              <w:rPr>
                <w:sz w:val="20"/>
                <w:szCs w:val="20"/>
              </w:rPr>
              <w:t>2019</w:t>
            </w:r>
          </w:p>
        </w:tc>
        <w:tc>
          <w:tcPr>
            <w:tcW w:w="1094" w:type="dxa"/>
            <w:tcBorders/>
            <w:shd w:color="auto" w:fill="auto" w:val="clear"/>
            <w:vAlign w:val="bottom"/>
          </w:tcPr>
          <w:p>
            <w:pPr>
              <w:pStyle w:val="Standard"/>
              <w:widowControl w:val="false"/>
              <w:jc w:val="right"/>
              <w:rPr>
                <w:sz w:val="20"/>
                <w:szCs w:val="20"/>
              </w:rPr>
            </w:pPr>
            <w:r>
              <w:rPr>
                <w:sz w:val="20"/>
                <w:szCs w:val="20"/>
              </w:rPr>
              <w:t>126441</w:t>
            </w:r>
          </w:p>
        </w:tc>
        <w:tc>
          <w:tcPr>
            <w:tcW w:w="1361" w:type="dxa"/>
            <w:tcBorders/>
            <w:shd w:color="auto" w:fill="auto" w:val="clear"/>
            <w:vAlign w:val="bottom"/>
          </w:tcPr>
          <w:p>
            <w:pPr>
              <w:pStyle w:val="Standard"/>
              <w:widowControl w:val="false"/>
              <w:rPr>
                <w:sz w:val="20"/>
                <w:szCs w:val="20"/>
              </w:rPr>
            </w:pPr>
            <w:r>
              <w:rPr>
                <w:sz w:val="20"/>
                <w:szCs w:val="20"/>
              </w:rPr>
              <w:t>Lan</w:t>
            </w:r>
          </w:p>
        </w:tc>
        <w:tc>
          <w:tcPr>
            <w:tcW w:w="1383" w:type="dxa"/>
            <w:tcBorders/>
            <w:shd w:color="auto" w:fill="auto" w:val="clear"/>
            <w:vAlign w:val="bottom"/>
          </w:tcPr>
          <w:p>
            <w:pPr>
              <w:pStyle w:val="Standard"/>
              <w:widowControl w:val="false"/>
              <w:rPr>
                <w:sz w:val="20"/>
                <w:szCs w:val="20"/>
              </w:rPr>
            </w:pPr>
            <w:r>
              <w:rPr>
                <w:sz w:val="20"/>
                <w:szCs w:val="20"/>
              </w:rPr>
              <w:t>LengthTotal</w:t>
            </w:r>
          </w:p>
        </w:tc>
        <w:tc>
          <w:tcPr>
            <w:tcW w:w="879" w:type="dxa"/>
            <w:tcBorders/>
            <w:shd w:color="auto" w:fill="auto" w:val="clear"/>
            <w:vAlign w:val="bottom"/>
          </w:tcPr>
          <w:p>
            <w:pPr>
              <w:pStyle w:val="Standard"/>
              <w:widowControl w:val="false"/>
              <w:jc w:val="right"/>
              <w:rPr>
                <w:sz w:val="20"/>
                <w:szCs w:val="20"/>
              </w:rPr>
            </w:pPr>
            <w:r>
              <w:rPr>
                <w:sz w:val="20"/>
                <w:szCs w:val="20"/>
              </w:rPr>
              <w:t>100</w:t>
            </w:r>
          </w:p>
        </w:tc>
        <w:tc>
          <w:tcPr>
            <w:tcW w:w="911" w:type="dxa"/>
            <w:tcBorders/>
            <w:shd w:color="auto" w:fill="auto" w:val="clear"/>
            <w:vAlign w:val="bottom"/>
          </w:tcPr>
          <w:p>
            <w:pPr>
              <w:pStyle w:val="Standard"/>
              <w:widowControl w:val="false"/>
              <w:jc w:val="right"/>
              <w:rPr>
                <w:sz w:val="20"/>
                <w:szCs w:val="20"/>
              </w:rPr>
            </w:pPr>
            <w:r>
              <w:rPr>
                <w:sz w:val="20"/>
                <w:szCs w:val="20"/>
              </w:rPr>
              <w:t>200</w:t>
            </w:r>
          </w:p>
        </w:tc>
        <w:tc>
          <w:tcPr>
            <w:tcW w:w="1681" w:type="dxa"/>
            <w:tcBorders/>
            <w:shd w:color="auto" w:fill="auto" w:val="clear"/>
            <w:vAlign w:val="bottom"/>
          </w:tcPr>
          <w:p>
            <w:pPr>
              <w:pStyle w:val="Standard"/>
              <w:widowControl w:val="false"/>
              <w:rPr>
                <w:sz w:val="20"/>
                <w:szCs w:val="20"/>
                <w:shd w:fill="B4C7DC" w:val="clear"/>
              </w:rPr>
            </w:pPr>
            <w:r>
              <w:rPr>
                <w:sz w:val="20"/>
                <w:szCs w:val="20"/>
                <w:shd w:fill="B4C7DC" w:val="clear"/>
              </w:rPr>
              <w:t>Age 2, 10-20 cm</w:t>
            </w:r>
          </w:p>
        </w:tc>
      </w:tr>
    </w:tbl>
    <w:p>
      <w:pPr>
        <w:pStyle w:val="Standard"/>
        <w:rPr/>
      </w:pPr>
      <w:r>
        <w:rPr/>
      </w:r>
    </w:p>
    <w:p>
      <w:pPr>
        <w:pStyle w:val="Standard"/>
        <w:rPr>
          <w:i/>
          <w:i/>
          <w:iCs/>
        </w:rPr>
      </w:pPr>
      <w:r>
        <w:rPr>
          <w:i/>
          <w:iCs/>
        </w:rPr>
        <w:t>The example above illustrates how to define domains that combine age and length groups.</w:t>
      </w:r>
    </w:p>
    <w:p>
      <w:pPr>
        <w:pStyle w:val="Standard"/>
        <w:rPr>
          <w:i/>
          <w:i/>
          <w:iCs/>
        </w:rPr>
      </w:pPr>
      <w:r>
        <w:rPr>
          <w:i/>
          <w:iCs/>
        </w:rPr>
      </w:r>
    </w:p>
    <w:p>
      <w:pPr>
        <w:pStyle w:val="Standard"/>
        <w:rPr>
          <w:i/>
          <w:i/>
          <w:iCs/>
        </w:rPr>
      </w:pPr>
      <w:r>
        <w:rPr>
          <w:i/>
          <w:iCs/>
        </w:rPr>
      </w:r>
    </w:p>
    <w:p>
      <w:pPr>
        <w:pStyle w:val="Textbody"/>
        <w:rPr>
          <w:b/>
          <w:b/>
          <w:bCs/>
        </w:rPr>
      </w:pPr>
      <w:r>
        <w:rPr>
          <w:b/>
          <w:bCs/>
        </w:rPr>
        <w:t>Example ESTIMATES:</w:t>
      </w:r>
    </w:p>
    <w:tbl>
      <w:tblPr>
        <w:tblW w:w="9918"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139"/>
        <w:gridCol w:w="743"/>
        <w:gridCol w:w="660"/>
        <w:gridCol w:w="1283"/>
        <w:gridCol w:w="692"/>
        <w:gridCol w:w="1283"/>
        <w:gridCol w:w="1015"/>
        <w:gridCol w:w="1283"/>
        <w:gridCol w:w="1139"/>
        <w:gridCol w:w="680"/>
      </w:tblGrid>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ReportingCategory</w:t>
            </w:r>
          </w:p>
        </w:tc>
        <w:tc>
          <w:tcPr>
            <w:tcW w:w="743" w:type="dxa"/>
            <w:tcBorders/>
            <w:shd w:color="auto" w:fill="auto" w:val="clear"/>
            <w:vAlign w:val="bottom"/>
          </w:tcPr>
          <w:p>
            <w:pPr>
              <w:pStyle w:val="Standard"/>
              <w:widowControl w:val="false"/>
              <w:rPr>
                <w:sz w:val="20"/>
                <w:szCs w:val="20"/>
              </w:rPr>
            </w:pPr>
            <w:r>
              <w:rPr>
                <w:sz w:val="20"/>
                <w:szCs w:val="20"/>
              </w:rPr>
              <w:t>vesselFlagCountry</w:t>
            </w:r>
          </w:p>
        </w:tc>
        <w:tc>
          <w:tcPr>
            <w:tcW w:w="660" w:type="dxa"/>
            <w:tcBorders/>
            <w:shd w:color="auto" w:fill="auto" w:val="clear"/>
            <w:vAlign w:val="bottom"/>
          </w:tcPr>
          <w:p>
            <w:pPr>
              <w:pStyle w:val="Standard"/>
              <w:widowControl w:val="false"/>
              <w:rPr>
                <w:sz w:val="20"/>
                <w:szCs w:val="20"/>
              </w:rPr>
            </w:pPr>
            <w:r>
              <w:rPr>
                <w:sz w:val="20"/>
                <w:szCs w:val="20"/>
              </w:rPr>
              <w:t>year</w:t>
            </w:r>
          </w:p>
        </w:tc>
        <w:tc>
          <w:tcPr>
            <w:tcW w:w="1283" w:type="dxa"/>
            <w:tcBorders/>
            <w:shd w:color="auto" w:fill="auto" w:val="clear"/>
            <w:vAlign w:val="bottom"/>
          </w:tcPr>
          <w:p>
            <w:pPr>
              <w:pStyle w:val="Standard"/>
              <w:widowControl w:val="false"/>
              <w:rPr>
                <w:sz w:val="20"/>
                <w:szCs w:val="20"/>
              </w:rPr>
            </w:pPr>
            <w:r>
              <w:rPr>
                <w:sz w:val="20"/>
                <w:szCs w:val="20"/>
              </w:rPr>
              <w:t>speciesCode</w:t>
            </w:r>
          </w:p>
        </w:tc>
        <w:tc>
          <w:tcPr>
            <w:tcW w:w="692" w:type="dxa"/>
            <w:tcBorders/>
            <w:shd w:color="auto" w:fill="auto" w:val="clear"/>
            <w:vAlign w:val="bottom"/>
          </w:tcPr>
          <w:p>
            <w:pPr>
              <w:pStyle w:val="Standard"/>
              <w:widowControl w:val="false"/>
              <w:rPr>
                <w:sz w:val="20"/>
                <w:szCs w:val="20"/>
              </w:rPr>
            </w:pPr>
            <w:r>
              <w:rPr>
                <w:sz w:val="20"/>
                <w:szCs w:val="20"/>
              </w:rPr>
              <w:t>catchCategory</w:t>
            </w:r>
          </w:p>
        </w:tc>
        <w:tc>
          <w:tcPr>
            <w:tcW w:w="1283" w:type="dxa"/>
            <w:tcBorders/>
            <w:shd w:color="auto" w:fill="auto" w:val="clear"/>
            <w:vAlign w:val="bottom"/>
          </w:tcPr>
          <w:p>
            <w:pPr>
              <w:pStyle w:val="Standard"/>
              <w:widowControl w:val="false"/>
              <w:rPr>
                <w:sz w:val="20"/>
                <w:szCs w:val="20"/>
              </w:rPr>
            </w:pPr>
            <w:r>
              <w:rPr>
                <w:sz w:val="20"/>
                <w:szCs w:val="20"/>
              </w:rPr>
              <w:t>activityDomain</w:t>
            </w:r>
          </w:p>
        </w:tc>
        <w:tc>
          <w:tcPr>
            <w:tcW w:w="1015" w:type="dxa"/>
            <w:tcBorders/>
            <w:shd w:color="auto" w:fill="auto" w:val="clear"/>
            <w:vAlign w:val="bottom"/>
          </w:tcPr>
          <w:p>
            <w:pPr>
              <w:pStyle w:val="Standard"/>
              <w:widowControl w:val="false"/>
              <w:rPr>
                <w:sz w:val="20"/>
                <w:szCs w:val="20"/>
              </w:rPr>
            </w:pPr>
            <w:r>
              <w:rPr>
                <w:sz w:val="20"/>
                <w:szCs w:val="20"/>
              </w:rPr>
              <w:t>fishDomain</w:t>
            </w:r>
          </w:p>
        </w:tc>
        <w:tc>
          <w:tcPr>
            <w:tcW w:w="1283" w:type="dxa"/>
            <w:tcBorders/>
            <w:shd w:color="auto" w:fill="auto" w:val="clear"/>
            <w:vAlign w:val="bottom"/>
          </w:tcPr>
          <w:p>
            <w:pPr>
              <w:pStyle w:val="Standard"/>
              <w:widowControl w:val="false"/>
              <w:rPr>
                <w:sz w:val="20"/>
                <w:szCs w:val="20"/>
              </w:rPr>
            </w:pPr>
            <w:r>
              <w:rPr>
                <w:sz w:val="20"/>
                <w:szCs w:val="20"/>
              </w:rPr>
              <w:t>Variable</w:t>
            </w:r>
          </w:p>
        </w:tc>
        <w:tc>
          <w:tcPr>
            <w:tcW w:w="1139" w:type="dxa"/>
            <w:tcBorders/>
            <w:shd w:color="auto" w:fill="auto" w:val="clear"/>
            <w:vAlign w:val="bottom"/>
          </w:tcPr>
          <w:p>
            <w:pPr>
              <w:pStyle w:val="Standard"/>
              <w:widowControl w:val="false"/>
              <w:rPr>
                <w:sz w:val="20"/>
                <w:szCs w:val="20"/>
              </w:rPr>
            </w:pPr>
            <w:r>
              <w:rPr>
                <w:sz w:val="20"/>
                <w:szCs w:val="20"/>
              </w:rPr>
              <w:t>total</w:t>
            </w:r>
          </w:p>
        </w:tc>
        <w:tc>
          <w:tcPr>
            <w:tcW w:w="680" w:type="dxa"/>
            <w:tcBorders/>
            <w:shd w:color="auto" w:fill="auto" w:val="clear"/>
            <w:vAlign w:val="bottom"/>
          </w:tcPr>
          <w:p>
            <w:pPr>
              <w:pStyle w:val="Standard"/>
              <w:widowControl w:val="false"/>
              <w:rPr>
                <w:sz w:val="20"/>
                <w:szCs w:val="20"/>
              </w:rPr>
            </w:pPr>
            <w:r>
              <w:rPr>
                <w:sz w:val="20"/>
                <w:szCs w:val="20"/>
              </w:rPr>
              <w:t>mean</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1</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410</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2</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1986</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3</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50420</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4</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263000</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5</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488100</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6</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446700</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7</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104400</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8</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38990</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9</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48540</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10+</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15510</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Dis</w:t>
            </w:r>
          </w:p>
        </w:tc>
        <w:tc>
          <w:tcPr>
            <w:tcW w:w="1283" w:type="dxa"/>
            <w:tcBorders/>
            <w:shd w:color="auto" w:fill="auto" w:val="clear"/>
            <w:vAlign w:val="bottom"/>
          </w:tcPr>
          <w:p>
            <w:pPr>
              <w:pStyle w:val="Standard"/>
              <w:widowControl w:val="false"/>
              <w:rPr>
                <w:sz w:val="20"/>
                <w:szCs w:val="20"/>
              </w:rPr>
            </w:pPr>
            <w:r>
              <w:rPr>
                <w:sz w:val="20"/>
                <w:szCs w:val="20"/>
              </w:rPr>
              <w:t>Dis-Pok-Q1</w:t>
            </w:r>
          </w:p>
        </w:tc>
        <w:tc>
          <w:tcPr>
            <w:tcW w:w="1015" w:type="dxa"/>
            <w:tcBorders/>
            <w:shd w:color="auto" w:fill="auto" w:val="clear"/>
            <w:vAlign w:val="bottom"/>
          </w:tcPr>
          <w:p>
            <w:pPr>
              <w:pStyle w:val="Standard"/>
              <w:widowControl w:val="false"/>
              <w:rPr>
                <w:sz w:val="20"/>
                <w:szCs w:val="20"/>
              </w:rPr>
            </w:pPr>
            <w:r>
              <w:rPr>
                <w:sz w:val="20"/>
                <w:szCs w:val="20"/>
              </w:rPr>
              <w:t>Dis</w:t>
            </w:r>
          </w:p>
        </w:tc>
        <w:tc>
          <w:tcPr>
            <w:tcW w:w="1283" w:type="dxa"/>
            <w:tcBorders/>
            <w:shd w:color="auto" w:fill="auto" w:val="clear"/>
            <w:vAlign w:val="bottom"/>
          </w:tcPr>
          <w:p>
            <w:pPr>
              <w:pStyle w:val="Standard"/>
              <w:widowControl w:val="false"/>
              <w:rPr>
                <w:sz w:val="20"/>
                <w:szCs w:val="20"/>
              </w:rPr>
            </w:pPr>
            <w:r>
              <w:rPr>
                <w:sz w:val="20"/>
                <w:szCs w:val="20"/>
              </w:rPr>
              <w:t>Abundance</w:t>
            </w:r>
          </w:p>
        </w:tc>
        <w:tc>
          <w:tcPr>
            <w:tcW w:w="1139" w:type="dxa"/>
            <w:tcBorders/>
            <w:shd w:color="auto" w:fill="auto" w:val="clear"/>
            <w:vAlign w:val="bottom"/>
          </w:tcPr>
          <w:p>
            <w:pPr>
              <w:pStyle w:val="Standard"/>
              <w:widowControl w:val="false"/>
              <w:jc w:val="right"/>
              <w:rPr>
                <w:sz w:val="20"/>
                <w:szCs w:val="20"/>
              </w:rPr>
            </w:pPr>
            <w:r>
              <w:rPr>
                <w:sz w:val="20"/>
                <w:szCs w:val="20"/>
              </w:rPr>
              <w:t>291611</w:t>
            </w:r>
          </w:p>
        </w:tc>
        <w:tc>
          <w:tcPr>
            <w:tcW w:w="680"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1</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440</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2</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797</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3</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1205</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4</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1658</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5</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2148</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6</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2673</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7</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3229</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8</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3813</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9</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4425</w:t>
            </w:r>
          </w:p>
        </w:tc>
      </w:tr>
      <w:tr>
        <w:trPr>
          <w:trHeight w:val="256" w:hRule="atLeast"/>
        </w:trPr>
        <w:tc>
          <w:tcPr>
            <w:tcW w:w="1139" w:type="dxa"/>
            <w:tcBorders/>
            <w:shd w:color="auto" w:fill="auto" w:val="clear"/>
            <w:vAlign w:val="bottom"/>
          </w:tcPr>
          <w:p>
            <w:pPr>
              <w:pStyle w:val="Standard"/>
              <w:widowControl w:val="false"/>
              <w:rPr>
                <w:sz w:val="20"/>
                <w:szCs w:val="20"/>
              </w:rPr>
            </w:pPr>
            <w:r>
              <w:rPr>
                <w:sz w:val="20"/>
                <w:szCs w:val="20"/>
              </w:rPr>
              <w:t>R</w:t>
            </w:r>
          </w:p>
        </w:tc>
        <w:tc>
          <w:tcPr>
            <w:tcW w:w="743" w:type="dxa"/>
            <w:tcBorders/>
            <w:shd w:color="auto" w:fill="auto" w:val="clear"/>
            <w:vAlign w:val="bottom"/>
          </w:tcPr>
          <w:p>
            <w:pPr>
              <w:pStyle w:val="Standard"/>
              <w:widowControl w:val="false"/>
              <w:rPr>
                <w:sz w:val="20"/>
                <w:szCs w:val="20"/>
              </w:rPr>
            </w:pPr>
            <w:r>
              <w:rPr>
                <w:sz w:val="20"/>
                <w:szCs w:val="20"/>
              </w:rPr>
              <w:t>NO</w:t>
            </w:r>
          </w:p>
        </w:tc>
        <w:tc>
          <w:tcPr>
            <w:tcW w:w="660" w:type="dxa"/>
            <w:tcBorders/>
            <w:shd w:color="auto" w:fill="auto" w:val="clear"/>
            <w:vAlign w:val="bottom"/>
          </w:tcPr>
          <w:p>
            <w:pPr>
              <w:pStyle w:val="Standard"/>
              <w:widowControl w:val="false"/>
              <w:jc w:val="right"/>
              <w:rPr>
                <w:sz w:val="20"/>
                <w:szCs w:val="20"/>
              </w:rPr>
            </w:pPr>
            <w:r>
              <w:rPr>
                <w:sz w:val="20"/>
                <w:szCs w:val="20"/>
              </w:rPr>
              <w:t>2019</w:t>
            </w:r>
          </w:p>
        </w:tc>
        <w:tc>
          <w:tcPr>
            <w:tcW w:w="1283" w:type="dxa"/>
            <w:tcBorders/>
            <w:shd w:color="auto" w:fill="auto" w:val="clear"/>
            <w:vAlign w:val="bottom"/>
          </w:tcPr>
          <w:p>
            <w:pPr>
              <w:pStyle w:val="Standard"/>
              <w:widowControl w:val="false"/>
              <w:jc w:val="right"/>
              <w:rPr>
                <w:sz w:val="20"/>
                <w:szCs w:val="20"/>
              </w:rPr>
            </w:pPr>
            <w:r>
              <w:rPr>
                <w:sz w:val="20"/>
                <w:szCs w:val="20"/>
              </w:rPr>
              <w:t>126441</w:t>
            </w:r>
          </w:p>
        </w:tc>
        <w:tc>
          <w:tcPr>
            <w:tcW w:w="692" w:type="dxa"/>
            <w:tcBorders/>
            <w:shd w:color="auto" w:fill="auto" w:val="clear"/>
            <w:vAlign w:val="bottom"/>
          </w:tcPr>
          <w:p>
            <w:pPr>
              <w:pStyle w:val="Standard"/>
              <w:widowControl w:val="false"/>
              <w:rPr>
                <w:sz w:val="20"/>
                <w:szCs w:val="20"/>
              </w:rPr>
            </w:pPr>
            <w:r>
              <w:rPr>
                <w:sz w:val="20"/>
                <w:szCs w:val="20"/>
              </w:rPr>
              <w:t>Lan</w:t>
            </w:r>
          </w:p>
        </w:tc>
        <w:tc>
          <w:tcPr>
            <w:tcW w:w="1283" w:type="dxa"/>
            <w:tcBorders/>
            <w:shd w:color="auto" w:fill="auto" w:val="clear"/>
            <w:vAlign w:val="bottom"/>
          </w:tcPr>
          <w:p>
            <w:pPr>
              <w:pStyle w:val="Standard"/>
              <w:widowControl w:val="false"/>
              <w:rPr>
                <w:sz w:val="20"/>
                <w:szCs w:val="20"/>
              </w:rPr>
            </w:pPr>
            <w:r>
              <w:rPr>
                <w:sz w:val="20"/>
                <w:szCs w:val="20"/>
              </w:rPr>
              <w:t>Lan-Pok-Jan</w:t>
            </w:r>
          </w:p>
        </w:tc>
        <w:tc>
          <w:tcPr>
            <w:tcW w:w="1015" w:type="dxa"/>
            <w:tcBorders/>
            <w:shd w:color="auto" w:fill="auto" w:val="clear"/>
            <w:vAlign w:val="bottom"/>
          </w:tcPr>
          <w:p>
            <w:pPr>
              <w:pStyle w:val="Standard"/>
              <w:widowControl w:val="false"/>
              <w:rPr>
                <w:sz w:val="20"/>
                <w:szCs w:val="20"/>
              </w:rPr>
            </w:pPr>
            <w:r>
              <w:rPr>
                <w:sz w:val="20"/>
                <w:szCs w:val="20"/>
              </w:rPr>
              <w:t>Age 10+</w:t>
            </w:r>
          </w:p>
        </w:tc>
        <w:tc>
          <w:tcPr>
            <w:tcW w:w="1283" w:type="dxa"/>
            <w:tcBorders/>
            <w:shd w:color="auto" w:fill="auto" w:val="clear"/>
            <w:vAlign w:val="bottom"/>
          </w:tcPr>
          <w:p>
            <w:pPr>
              <w:pStyle w:val="Standard"/>
              <w:widowControl w:val="false"/>
              <w:rPr>
                <w:sz w:val="20"/>
                <w:szCs w:val="20"/>
              </w:rPr>
            </w:pPr>
            <w:r>
              <w:rPr>
                <w:sz w:val="20"/>
                <w:szCs w:val="20"/>
              </w:rPr>
              <w:t>WeightLive</w:t>
            </w:r>
          </w:p>
        </w:tc>
        <w:tc>
          <w:tcPr>
            <w:tcW w:w="1139" w:type="dxa"/>
            <w:tcBorders/>
            <w:shd w:color="auto" w:fill="auto" w:val="clear"/>
            <w:vAlign w:val="bottom"/>
          </w:tcPr>
          <w:p>
            <w:pPr>
              <w:pStyle w:val="Standard"/>
              <w:widowControl w:val="false"/>
              <w:rPr>
                <w:sz w:val="20"/>
                <w:szCs w:val="20"/>
              </w:rPr>
            </w:pPr>
            <w:r>
              <w:rPr>
                <w:sz w:val="20"/>
                <w:szCs w:val="20"/>
              </w:rPr>
              <w:t>NA</w:t>
            </w:r>
          </w:p>
        </w:tc>
        <w:tc>
          <w:tcPr>
            <w:tcW w:w="680" w:type="dxa"/>
            <w:tcBorders/>
            <w:shd w:color="auto" w:fill="auto" w:val="clear"/>
            <w:vAlign w:val="bottom"/>
          </w:tcPr>
          <w:p>
            <w:pPr>
              <w:pStyle w:val="Standard"/>
              <w:widowControl w:val="false"/>
              <w:jc w:val="right"/>
              <w:rPr>
                <w:sz w:val="20"/>
                <w:szCs w:val="20"/>
              </w:rPr>
            </w:pPr>
            <w:r>
              <w:rPr>
                <w:sz w:val="20"/>
                <w:szCs w:val="20"/>
              </w:rPr>
              <w:t>6916</w:t>
            </w:r>
          </w:p>
        </w:tc>
      </w:tr>
    </w:tbl>
    <w:p>
      <w:pPr>
        <w:pStyle w:val="Standard"/>
        <w:rPr/>
      </w:pPr>
      <w:r>
        <w:rPr/>
      </w:r>
    </w:p>
    <w:p>
      <w:pPr>
        <w:pStyle w:val="Standard"/>
        <w:rPr>
          <w:b/>
          <w:b/>
          <w:bCs/>
        </w:rPr>
      </w:pPr>
      <w:r>
        <w:rPr>
          <w:b/>
          <w:bCs/>
        </w:rPr>
        <w:t>Example EFFORT:</w:t>
      </w:r>
    </w:p>
    <w:p>
      <w:pPr>
        <w:pStyle w:val="Standard"/>
        <w:rPr/>
      </w:pPr>
      <w:r>
        <w:rPr/>
      </w:r>
    </w:p>
    <w:tbl>
      <w:tblPr>
        <w:tblW w:w="9923"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417"/>
        <w:gridCol w:w="567"/>
        <w:gridCol w:w="911"/>
        <w:gridCol w:w="1016"/>
        <w:gridCol w:w="2056"/>
        <w:gridCol w:w="1971"/>
        <w:gridCol w:w="1984"/>
      </w:tblGrid>
      <w:tr>
        <w:trPr>
          <w:trHeight w:val="300" w:hRule="atLeast"/>
        </w:trPr>
        <w:tc>
          <w:tcPr>
            <w:tcW w:w="1417" w:type="dxa"/>
            <w:tcBorders/>
            <w:shd w:color="auto" w:fill="auto" w:val="clear"/>
            <w:vAlign w:val="bottom"/>
          </w:tcPr>
          <w:p>
            <w:pPr>
              <w:pStyle w:val="Standard"/>
              <w:widowControl w:val="false"/>
              <w:rPr>
                <w:sz w:val="20"/>
                <w:szCs w:val="20"/>
              </w:rPr>
            </w:pPr>
            <w:r>
              <w:rPr>
                <w:sz w:val="20"/>
                <w:szCs w:val="20"/>
              </w:rPr>
              <w:t>vesselFlagCountry</w:t>
            </w:r>
          </w:p>
        </w:tc>
        <w:tc>
          <w:tcPr>
            <w:tcW w:w="567" w:type="dxa"/>
            <w:tcBorders/>
            <w:shd w:color="auto" w:fill="auto" w:val="clear"/>
            <w:vAlign w:val="bottom"/>
          </w:tcPr>
          <w:p>
            <w:pPr>
              <w:pStyle w:val="Standard"/>
              <w:widowControl w:val="false"/>
              <w:rPr>
                <w:sz w:val="20"/>
                <w:szCs w:val="20"/>
              </w:rPr>
            </w:pPr>
            <w:r>
              <w:rPr>
                <w:sz w:val="20"/>
                <w:szCs w:val="20"/>
              </w:rPr>
              <w:t>year</w:t>
            </w:r>
          </w:p>
        </w:tc>
        <w:tc>
          <w:tcPr>
            <w:tcW w:w="911" w:type="dxa"/>
            <w:tcBorders/>
            <w:shd w:color="auto" w:fill="auto" w:val="clear"/>
            <w:vAlign w:val="bottom"/>
          </w:tcPr>
          <w:p>
            <w:pPr>
              <w:pStyle w:val="Standard"/>
              <w:widowControl w:val="false"/>
              <w:rPr>
                <w:sz w:val="20"/>
                <w:szCs w:val="20"/>
              </w:rPr>
            </w:pPr>
            <w:r>
              <w:rPr>
                <w:sz w:val="20"/>
                <w:szCs w:val="20"/>
              </w:rPr>
              <w:t>Quarter</w:t>
            </w:r>
          </w:p>
        </w:tc>
        <w:tc>
          <w:tcPr>
            <w:tcW w:w="1016" w:type="dxa"/>
            <w:tcBorders/>
            <w:shd w:color="auto" w:fill="auto" w:val="clear"/>
            <w:vAlign w:val="bottom"/>
          </w:tcPr>
          <w:p>
            <w:pPr>
              <w:pStyle w:val="Standard"/>
              <w:widowControl w:val="false"/>
              <w:rPr>
                <w:sz w:val="20"/>
                <w:szCs w:val="20"/>
              </w:rPr>
            </w:pPr>
            <w:r>
              <w:rPr>
                <w:sz w:val="20"/>
                <w:szCs w:val="20"/>
              </w:rPr>
              <w:t>area</w:t>
            </w:r>
          </w:p>
        </w:tc>
        <w:tc>
          <w:tcPr>
            <w:tcW w:w="2056" w:type="dxa"/>
            <w:tcBorders/>
            <w:shd w:color="auto" w:fill="auto" w:val="clear"/>
            <w:vAlign w:val="bottom"/>
          </w:tcPr>
          <w:p>
            <w:pPr>
              <w:pStyle w:val="Standard"/>
              <w:widowControl w:val="false"/>
              <w:rPr>
                <w:sz w:val="20"/>
                <w:szCs w:val="20"/>
              </w:rPr>
            </w:pPr>
            <w:r>
              <w:rPr>
                <w:sz w:val="20"/>
                <w:szCs w:val="20"/>
              </w:rPr>
              <w:t>metier6</w:t>
            </w:r>
          </w:p>
        </w:tc>
        <w:tc>
          <w:tcPr>
            <w:tcW w:w="1971" w:type="dxa"/>
            <w:tcBorders/>
            <w:shd w:color="auto" w:fill="auto" w:val="clear"/>
            <w:vAlign w:val="bottom"/>
          </w:tcPr>
          <w:p>
            <w:pPr>
              <w:pStyle w:val="Standard"/>
              <w:widowControl w:val="false"/>
              <w:rPr>
                <w:sz w:val="20"/>
                <w:szCs w:val="20"/>
              </w:rPr>
            </w:pPr>
            <w:r>
              <w:rPr>
                <w:sz w:val="20"/>
                <w:szCs w:val="20"/>
              </w:rPr>
              <w:t>Fleet</w:t>
            </w:r>
          </w:p>
        </w:tc>
        <w:tc>
          <w:tcPr>
            <w:tcW w:w="1984" w:type="dxa"/>
            <w:tcBorders/>
            <w:shd w:color="auto" w:fill="auto" w:val="clear"/>
            <w:vAlign w:val="bottom"/>
          </w:tcPr>
          <w:p>
            <w:pPr>
              <w:pStyle w:val="Standard"/>
              <w:widowControl w:val="false"/>
              <w:rPr>
                <w:sz w:val="20"/>
                <w:szCs w:val="20"/>
              </w:rPr>
            </w:pPr>
            <w:r>
              <w:rPr>
                <w:sz w:val="20"/>
                <w:szCs w:val="20"/>
              </w:rPr>
              <w:t>officialFishingDays</w:t>
            </w:r>
          </w:p>
        </w:tc>
      </w:tr>
      <w:tr>
        <w:trPr>
          <w:trHeight w:val="256" w:hRule="atLeast"/>
        </w:trPr>
        <w:tc>
          <w:tcPr>
            <w:tcW w:w="1417" w:type="dxa"/>
            <w:tcBorders/>
            <w:shd w:color="auto" w:fill="auto" w:val="clear"/>
            <w:vAlign w:val="bottom"/>
          </w:tcPr>
          <w:p>
            <w:pPr>
              <w:pStyle w:val="Standard"/>
              <w:widowControl w:val="false"/>
              <w:rPr>
                <w:sz w:val="20"/>
                <w:szCs w:val="20"/>
              </w:rPr>
            </w:pPr>
            <w:r>
              <w:rPr>
                <w:sz w:val="20"/>
                <w:szCs w:val="20"/>
              </w:rPr>
              <w:t>NO</w:t>
            </w:r>
          </w:p>
        </w:tc>
        <w:tc>
          <w:tcPr>
            <w:tcW w:w="567" w:type="dxa"/>
            <w:tcBorders/>
            <w:shd w:color="auto" w:fill="auto" w:val="clear"/>
            <w:vAlign w:val="bottom"/>
          </w:tcPr>
          <w:p>
            <w:pPr>
              <w:pStyle w:val="Standard"/>
              <w:widowControl w:val="false"/>
              <w:jc w:val="right"/>
              <w:rPr>
                <w:sz w:val="20"/>
                <w:szCs w:val="20"/>
              </w:rPr>
            </w:pPr>
            <w:r>
              <w:rPr>
                <w:sz w:val="20"/>
                <w:szCs w:val="20"/>
              </w:rPr>
              <w:t>2019</w:t>
            </w:r>
          </w:p>
        </w:tc>
        <w:tc>
          <w:tcPr>
            <w:tcW w:w="911" w:type="dxa"/>
            <w:tcBorders/>
            <w:shd w:color="auto" w:fill="auto" w:val="clear"/>
            <w:vAlign w:val="bottom"/>
          </w:tcPr>
          <w:p>
            <w:pPr>
              <w:pStyle w:val="Standard"/>
              <w:widowControl w:val="false"/>
              <w:jc w:val="right"/>
              <w:rPr>
                <w:sz w:val="20"/>
                <w:szCs w:val="20"/>
              </w:rPr>
            </w:pPr>
            <w:r>
              <w:rPr>
                <w:sz w:val="20"/>
                <w:szCs w:val="20"/>
              </w:rPr>
              <w:t>1</w:t>
            </w:r>
          </w:p>
        </w:tc>
        <w:tc>
          <w:tcPr>
            <w:tcW w:w="1016" w:type="dxa"/>
            <w:tcBorders/>
            <w:shd w:color="auto" w:fill="auto" w:val="clear"/>
            <w:vAlign w:val="bottom"/>
          </w:tcPr>
          <w:p>
            <w:pPr>
              <w:pStyle w:val="Standard"/>
              <w:widowControl w:val="false"/>
              <w:rPr>
                <w:sz w:val="20"/>
                <w:szCs w:val="20"/>
              </w:rPr>
            </w:pPr>
            <w:r>
              <w:rPr>
                <w:sz w:val="20"/>
                <w:szCs w:val="20"/>
              </w:rPr>
              <w:t>27.4.a</w:t>
            </w:r>
          </w:p>
        </w:tc>
        <w:tc>
          <w:tcPr>
            <w:tcW w:w="2056" w:type="dxa"/>
            <w:tcBorders/>
            <w:shd w:color="auto" w:fill="auto" w:val="clear"/>
            <w:vAlign w:val="bottom"/>
          </w:tcPr>
          <w:p>
            <w:pPr>
              <w:pStyle w:val="Standard"/>
              <w:widowControl w:val="false"/>
              <w:rPr>
                <w:sz w:val="20"/>
                <w:szCs w:val="20"/>
              </w:rPr>
            </w:pPr>
            <w:r>
              <w:rPr>
                <w:sz w:val="20"/>
                <w:szCs w:val="20"/>
              </w:rPr>
              <w:t>OTB_DEF_&gt;=120_0_0_all</w:t>
            </w:r>
          </w:p>
        </w:tc>
        <w:tc>
          <w:tcPr>
            <w:tcW w:w="1971" w:type="dxa"/>
            <w:tcBorders/>
            <w:shd w:color="auto" w:fill="auto" w:val="clear"/>
            <w:vAlign w:val="bottom"/>
          </w:tcPr>
          <w:p>
            <w:pPr>
              <w:pStyle w:val="Standard"/>
              <w:widowControl w:val="false"/>
              <w:rPr>
                <w:sz w:val="20"/>
                <w:szCs w:val="20"/>
              </w:rPr>
            </w:pPr>
            <w:r>
              <w:rPr>
                <w:sz w:val="20"/>
                <w:szCs w:val="20"/>
              </w:rPr>
              <w:t>OTB_DEF_&gt;=120_0_0_all</w:t>
            </w:r>
          </w:p>
        </w:tc>
        <w:tc>
          <w:tcPr>
            <w:tcW w:w="1984" w:type="dxa"/>
            <w:tcBorders/>
            <w:shd w:color="auto" w:fill="auto" w:val="clear"/>
            <w:vAlign w:val="bottom"/>
          </w:tcPr>
          <w:p>
            <w:pPr>
              <w:pStyle w:val="Standard"/>
              <w:widowControl w:val="false"/>
              <w:jc w:val="right"/>
              <w:rPr>
                <w:sz w:val="20"/>
                <w:szCs w:val="20"/>
              </w:rPr>
            </w:pPr>
            <w:r>
              <w:rPr>
                <w:sz w:val="20"/>
                <w:szCs w:val="20"/>
              </w:rPr>
              <w:t>110</w:t>
            </w:r>
          </w:p>
        </w:tc>
      </w:tr>
    </w:tbl>
    <w:p>
      <w:pPr>
        <w:pStyle w:val="Standard"/>
        <w:rPr/>
      </w:pPr>
      <w:r>
        <w:rPr/>
      </w:r>
    </w:p>
    <w:p>
      <w:pPr>
        <w:pStyle w:val="Standard"/>
        <w:rPr/>
      </w:pPr>
      <w:r>
        <w:rPr/>
      </w:r>
      <w:r>
        <w:br w:type="page"/>
      </w:r>
    </w:p>
    <w:p>
      <w:pPr>
        <w:pStyle w:val="Titre1"/>
        <w:rPr/>
      </w:pPr>
      <w:r>
        <w:rPr/>
        <w:t>Appendix 2 – Example SCF</w:t>
      </w:r>
    </w:p>
    <w:p>
      <w:pPr>
        <w:pStyle w:val="Textbody"/>
        <w:rPr>
          <w:b/>
          <w:b/>
          <w:bCs/>
        </w:rPr>
      </w:pPr>
      <w:r>
        <w:rPr>
          <w:b/>
          <w:bCs/>
        </w:rPr>
        <w:t>Example CATCH:</w:t>
      </w:r>
    </w:p>
    <w:tbl>
      <w:tblPr>
        <w:tblW w:w="5150"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310"/>
        <w:gridCol w:w="1278"/>
        <w:gridCol w:w="1282"/>
        <w:gridCol w:w="1279"/>
      </w:tblGrid>
      <w:tr>
        <w:trPr>
          <w:trHeight w:val="300" w:hRule="atLeast"/>
        </w:trPr>
        <w:tc>
          <w:tcPr>
            <w:tcW w:w="1310" w:type="dxa"/>
            <w:tcBorders/>
            <w:shd w:color="auto" w:fill="auto" w:val="clear"/>
            <w:vAlign w:val="bottom"/>
          </w:tcPr>
          <w:p>
            <w:pPr>
              <w:pStyle w:val="Standard"/>
              <w:widowControl w:val="false"/>
              <w:rPr>
                <w:sz w:val="20"/>
                <w:szCs w:val="20"/>
              </w:rPr>
            </w:pPr>
            <w:r>
              <w:rPr>
                <w:sz w:val="20"/>
                <w:szCs w:val="20"/>
              </w:rPr>
              <w:t>year</w:t>
            </w:r>
          </w:p>
        </w:tc>
        <w:tc>
          <w:tcPr>
            <w:tcW w:w="1278" w:type="dxa"/>
            <w:tcBorders/>
            <w:shd w:color="auto" w:fill="auto" w:val="clear"/>
            <w:vAlign w:val="bottom"/>
          </w:tcPr>
          <w:p>
            <w:pPr>
              <w:pStyle w:val="Standard"/>
              <w:widowControl w:val="false"/>
              <w:rPr>
                <w:sz w:val="20"/>
                <w:szCs w:val="20"/>
              </w:rPr>
            </w:pPr>
            <w:r>
              <w:rPr>
                <w:sz w:val="20"/>
                <w:szCs w:val="20"/>
              </w:rPr>
              <w:t>speciesCode</w:t>
            </w:r>
          </w:p>
        </w:tc>
        <w:tc>
          <w:tcPr>
            <w:tcW w:w="1282" w:type="dxa"/>
            <w:tcBorders/>
            <w:shd w:color="auto" w:fill="auto" w:val="clear"/>
            <w:vAlign w:val="bottom"/>
          </w:tcPr>
          <w:p>
            <w:pPr>
              <w:pStyle w:val="Standard"/>
              <w:widowControl w:val="false"/>
              <w:rPr>
                <w:sz w:val="20"/>
                <w:szCs w:val="20"/>
              </w:rPr>
            </w:pPr>
            <w:r>
              <w:rPr>
                <w:sz w:val="20"/>
                <w:szCs w:val="20"/>
              </w:rPr>
              <w:t>area</w:t>
            </w:r>
          </w:p>
        </w:tc>
        <w:tc>
          <w:tcPr>
            <w:tcW w:w="1279" w:type="dxa"/>
            <w:tcBorders/>
            <w:shd w:color="auto" w:fill="auto" w:val="clear"/>
            <w:vAlign w:val="bottom"/>
          </w:tcPr>
          <w:p>
            <w:pPr>
              <w:pStyle w:val="Standard"/>
              <w:widowControl w:val="false"/>
              <w:rPr>
                <w:sz w:val="20"/>
                <w:szCs w:val="20"/>
              </w:rPr>
            </w:pPr>
            <w:r>
              <w:rPr>
                <w:sz w:val="20"/>
                <w:szCs w:val="20"/>
              </w:rPr>
              <w:t>activityDomain</w:t>
            </w:r>
          </w:p>
        </w:tc>
      </w:tr>
      <w:tr>
        <w:trPr>
          <w:trHeight w:val="256" w:hRule="atLeast"/>
        </w:trPr>
        <w:tc>
          <w:tcPr>
            <w:tcW w:w="1310"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"27.4"</w:t>
            </w:r>
          </w:p>
        </w:tc>
        <w:tc>
          <w:tcPr>
            <w:tcW w:w="1279" w:type="dxa"/>
            <w:tcBorders/>
            <w:shd w:color="auto" w:fill="auto" w:val="clear"/>
            <w:vAlign w:val="bottom"/>
          </w:tcPr>
          <w:p>
            <w:pPr>
              <w:pStyle w:val="Standard"/>
              <w:widowControl w:val="false"/>
              <w:rPr>
                <w:sz w:val="20"/>
                <w:szCs w:val="20"/>
              </w:rPr>
            </w:pPr>
            <w:r>
              <w:rPr>
                <w:sz w:val="20"/>
                <w:szCs w:val="20"/>
              </w:rPr>
              <w:t>pok.27.3a46</w:t>
            </w:r>
          </w:p>
        </w:tc>
      </w:tr>
      <w:tr>
        <w:trPr>
          <w:trHeight w:val="256" w:hRule="atLeast"/>
        </w:trPr>
        <w:tc>
          <w:tcPr>
            <w:tcW w:w="1310"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"27.6"</w:t>
            </w:r>
          </w:p>
        </w:tc>
        <w:tc>
          <w:tcPr>
            <w:tcW w:w="1279" w:type="dxa"/>
            <w:tcBorders/>
            <w:shd w:color="auto" w:fill="auto" w:val="clear"/>
            <w:vAlign w:val="bottom"/>
          </w:tcPr>
          <w:p>
            <w:pPr>
              <w:pStyle w:val="Standard"/>
              <w:widowControl w:val="false"/>
              <w:rPr>
                <w:sz w:val="20"/>
                <w:szCs w:val="20"/>
              </w:rPr>
            </w:pPr>
            <w:r>
              <w:rPr>
                <w:sz w:val="20"/>
                <w:szCs w:val="20"/>
              </w:rPr>
              <w:t>pok.27.3a46</w:t>
            </w:r>
          </w:p>
        </w:tc>
      </w:tr>
      <w:tr>
        <w:trPr>
          <w:trHeight w:val="256" w:hRule="atLeast"/>
        </w:trPr>
        <w:tc>
          <w:tcPr>
            <w:tcW w:w="1310" w:type="dxa"/>
            <w:tcBorders/>
            <w:shd w:color="auto" w:fill="auto" w:val="clear"/>
            <w:vAlign w:val="bottom"/>
          </w:tcPr>
          <w:p>
            <w:pPr>
              <w:pStyle w:val="Standard"/>
              <w:widowControl w:val="false"/>
              <w:jc w:val="right"/>
              <w:rPr>
                <w:sz w:val="20"/>
                <w:szCs w:val="20"/>
              </w:rPr>
            </w:pPr>
            <w:r>
              <w:rPr>
                <w:sz w:val="20"/>
                <w:szCs w:val="20"/>
              </w:rPr>
              <w:t>2019</w:t>
            </w:r>
          </w:p>
        </w:tc>
        <w:tc>
          <w:tcPr>
            <w:tcW w:w="1278" w:type="dxa"/>
            <w:tcBorders/>
            <w:shd w:color="auto" w:fill="auto" w:val="clear"/>
            <w:vAlign w:val="bottom"/>
          </w:tcPr>
          <w:p>
            <w:pPr>
              <w:pStyle w:val="Standard"/>
              <w:widowControl w:val="false"/>
              <w:jc w:val="right"/>
              <w:rPr>
                <w:sz w:val="20"/>
                <w:szCs w:val="20"/>
              </w:rPr>
            </w:pPr>
            <w:r>
              <w:rPr>
                <w:sz w:val="20"/>
                <w:szCs w:val="20"/>
              </w:rPr>
              <w:t>126441</w:t>
            </w:r>
          </w:p>
        </w:tc>
        <w:tc>
          <w:tcPr>
            <w:tcW w:w="1282" w:type="dxa"/>
            <w:tcBorders/>
            <w:shd w:color="auto" w:fill="auto" w:val="clear"/>
            <w:vAlign w:val="bottom"/>
          </w:tcPr>
          <w:p>
            <w:pPr>
              <w:pStyle w:val="Standard"/>
              <w:widowControl w:val="false"/>
              <w:rPr>
                <w:sz w:val="20"/>
                <w:szCs w:val="20"/>
              </w:rPr>
            </w:pPr>
            <w:r>
              <w:rPr>
                <w:sz w:val="20"/>
                <w:szCs w:val="20"/>
              </w:rPr>
              <w:t>"27.3.a"</w:t>
            </w:r>
          </w:p>
        </w:tc>
        <w:tc>
          <w:tcPr>
            <w:tcW w:w="1279" w:type="dxa"/>
            <w:tcBorders/>
            <w:shd w:color="auto" w:fill="auto" w:val="clear"/>
            <w:vAlign w:val="bottom"/>
          </w:tcPr>
          <w:p>
            <w:pPr>
              <w:pStyle w:val="Standard"/>
              <w:widowControl w:val="false"/>
              <w:rPr>
                <w:sz w:val="20"/>
                <w:szCs w:val="20"/>
              </w:rPr>
            </w:pPr>
            <w:r>
              <w:rPr>
                <w:sz w:val="20"/>
                <w:szCs w:val="20"/>
              </w:rPr>
              <w:t>pok.27.3a46</w:t>
            </w:r>
          </w:p>
        </w:tc>
      </w:tr>
    </w:tbl>
    <w:p>
      <w:pPr>
        <w:pStyle w:val="Standard"/>
        <w:rPr>
          <w:b/>
          <w:b/>
          <w:bCs/>
        </w:rPr>
      </w:pPr>
      <w:r>
        <w:rPr>
          <w:b/>
          <w:bCs/>
        </w:rPr>
      </w:r>
    </w:p>
    <w:p>
      <w:pPr>
        <w:pStyle w:val="Textbody"/>
        <w:rPr>
          <w:b/>
          <w:b/>
          <w:bCs/>
        </w:rPr>
      </w:pPr>
      <w:r>
        <w:rPr>
          <w:b/>
          <w:bCs/>
        </w:rPr>
        <w:t>Example FISHDOMAINS:</w:t>
      </w:r>
    </w:p>
    <w:tbl>
      <w:tblPr>
        <w:tblW w:w="7710"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309"/>
        <w:gridCol w:w="1280"/>
        <w:gridCol w:w="1279"/>
        <w:gridCol w:w="1283"/>
        <w:gridCol w:w="1279"/>
        <w:gridCol w:w="1279"/>
      </w:tblGrid>
      <w:tr>
        <w:trPr>
          <w:trHeight w:val="300" w:hRule="atLeast"/>
        </w:trPr>
        <w:tc>
          <w:tcPr>
            <w:tcW w:w="1309" w:type="dxa"/>
            <w:tcBorders/>
            <w:shd w:color="auto" w:fill="auto" w:val="clear"/>
            <w:vAlign w:val="bottom"/>
          </w:tcPr>
          <w:p>
            <w:pPr>
              <w:pStyle w:val="Standard"/>
              <w:widowControl w:val="false"/>
              <w:rPr>
                <w:sz w:val="20"/>
                <w:szCs w:val="20"/>
              </w:rPr>
            </w:pPr>
            <w:r>
              <w:rPr>
                <w:sz w:val="20"/>
                <w:szCs w:val="20"/>
              </w:rPr>
              <w:t>year</w:t>
            </w:r>
          </w:p>
        </w:tc>
        <w:tc>
          <w:tcPr>
            <w:tcW w:w="1280" w:type="dxa"/>
            <w:tcBorders/>
            <w:shd w:color="auto" w:fill="auto" w:val="clear"/>
            <w:vAlign w:val="bottom"/>
          </w:tcPr>
          <w:p>
            <w:pPr>
              <w:pStyle w:val="Standard"/>
              <w:widowControl w:val="false"/>
              <w:rPr>
                <w:sz w:val="20"/>
                <w:szCs w:val="20"/>
              </w:rPr>
            </w:pPr>
            <w:r>
              <w:rPr>
                <w:sz w:val="20"/>
                <w:szCs w:val="20"/>
              </w:rPr>
              <w:t>speciesCode</w:t>
            </w:r>
          </w:p>
        </w:tc>
        <w:tc>
          <w:tcPr>
            <w:tcW w:w="1279" w:type="dxa"/>
            <w:tcBorders/>
            <w:shd w:color="auto" w:fill="auto" w:val="clear"/>
            <w:vAlign w:val="bottom"/>
          </w:tcPr>
          <w:p>
            <w:pPr>
              <w:pStyle w:val="Standard"/>
              <w:widowControl w:val="false"/>
              <w:rPr>
                <w:sz w:val="20"/>
                <w:szCs w:val="20"/>
              </w:rPr>
            </w:pPr>
            <w:r>
              <w:rPr>
                <w:sz w:val="20"/>
                <w:szCs w:val="20"/>
              </w:rPr>
              <w:t>domainVariable</w:t>
            </w:r>
          </w:p>
        </w:tc>
        <w:tc>
          <w:tcPr>
            <w:tcW w:w="1283" w:type="dxa"/>
            <w:tcBorders/>
            <w:shd w:color="auto" w:fill="auto" w:val="clear"/>
            <w:vAlign w:val="bottom"/>
          </w:tcPr>
          <w:p>
            <w:pPr>
              <w:pStyle w:val="Standard"/>
              <w:widowControl w:val="false"/>
              <w:rPr>
                <w:sz w:val="20"/>
                <w:szCs w:val="20"/>
              </w:rPr>
            </w:pPr>
            <w:r>
              <w:rPr>
                <w:sz w:val="20"/>
                <w:szCs w:val="20"/>
              </w:rPr>
              <w:t>MinValue</w:t>
            </w:r>
          </w:p>
        </w:tc>
        <w:tc>
          <w:tcPr>
            <w:tcW w:w="1279" w:type="dxa"/>
            <w:tcBorders/>
            <w:shd w:color="auto" w:fill="auto" w:val="clear"/>
            <w:vAlign w:val="bottom"/>
          </w:tcPr>
          <w:p>
            <w:pPr>
              <w:pStyle w:val="Standard"/>
              <w:widowControl w:val="false"/>
              <w:rPr>
                <w:sz w:val="20"/>
                <w:szCs w:val="20"/>
              </w:rPr>
            </w:pPr>
            <w:r>
              <w:rPr>
                <w:sz w:val="20"/>
                <w:szCs w:val="20"/>
              </w:rPr>
              <w:t>Maxvalue</w:t>
            </w:r>
          </w:p>
        </w:tc>
        <w:tc>
          <w:tcPr>
            <w:tcW w:w="1279" w:type="dxa"/>
            <w:tcBorders/>
            <w:shd w:color="auto" w:fill="auto" w:val="clear"/>
            <w:vAlign w:val="bottom"/>
          </w:tcPr>
          <w:p>
            <w:pPr>
              <w:pStyle w:val="Standard"/>
              <w:widowControl w:val="false"/>
              <w:rPr>
                <w:sz w:val="20"/>
                <w:szCs w:val="20"/>
              </w:rPr>
            </w:pPr>
            <w:r>
              <w:rPr>
                <w:sz w:val="20"/>
                <w:szCs w:val="20"/>
              </w:rPr>
              <w:t>fishDomain</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1</w:t>
            </w:r>
          </w:p>
        </w:tc>
        <w:tc>
          <w:tcPr>
            <w:tcW w:w="1279" w:type="dxa"/>
            <w:tcBorders/>
            <w:shd w:color="auto" w:fill="auto" w:val="clear"/>
            <w:vAlign w:val="bottom"/>
          </w:tcPr>
          <w:p>
            <w:pPr>
              <w:pStyle w:val="Standard"/>
              <w:widowControl w:val="false"/>
              <w:jc w:val="right"/>
              <w:rPr>
                <w:sz w:val="20"/>
                <w:szCs w:val="20"/>
              </w:rPr>
            </w:pPr>
            <w:r>
              <w:rPr>
                <w:sz w:val="20"/>
                <w:szCs w:val="20"/>
              </w:rPr>
              <w:t>1</w:t>
            </w:r>
          </w:p>
        </w:tc>
        <w:tc>
          <w:tcPr>
            <w:tcW w:w="1279" w:type="dxa"/>
            <w:tcBorders/>
            <w:shd w:color="auto" w:fill="auto" w:val="clear"/>
            <w:vAlign w:val="bottom"/>
          </w:tcPr>
          <w:p>
            <w:pPr>
              <w:pStyle w:val="Standard"/>
              <w:widowControl w:val="false"/>
              <w:rPr>
                <w:sz w:val="20"/>
                <w:szCs w:val="20"/>
              </w:rPr>
            </w:pPr>
            <w:r>
              <w:rPr>
                <w:sz w:val="20"/>
                <w:szCs w:val="20"/>
              </w:rPr>
              <w:t>Age 1</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2</w:t>
            </w:r>
          </w:p>
        </w:tc>
        <w:tc>
          <w:tcPr>
            <w:tcW w:w="1279" w:type="dxa"/>
            <w:tcBorders/>
            <w:shd w:color="auto" w:fill="auto" w:val="clear"/>
            <w:vAlign w:val="bottom"/>
          </w:tcPr>
          <w:p>
            <w:pPr>
              <w:pStyle w:val="Standard"/>
              <w:widowControl w:val="false"/>
              <w:jc w:val="right"/>
              <w:rPr>
                <w:sz w:val="20"/>
                <w:szCs w:val="20"/>
              </w:rPr>
            </w:pPr>
            <w:r>
              <w:rPr>
                <w:sz w:val="20"/>
                <w:szCs w:val="20"/>
              </w:rPr>
              <w:t>2</w:t>
            </w:r>
          </w:p>
        </w:tc>
        <w:tc>
          <w:tcPr>
            <w:tcW w:w="1279" w:type="dxa"/>
            <w:tcBorders/>
            <w:shd w:color="auto" w:fill="auto" w:val="clear"/>
            <w:vAlign w:val="bottom"/>
          </w:tcPr>
          <w:p>
            <w:pPr>
              <w:pStyle w:val="Standard"/>
              <w:widowControl w:val="false"/>
              <w:rPr>
                <w:sz w:val="20"/>
                <w:szCs w:val="20"/>
              </w:rPr>
            </w:pPr>
            <w:r>
              <w:rPr>
                <w:sz w:val="20"/>
                <w:szCs w:val="20"/>
              </w:rPr>
              <w:t>Age 2</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3</w:t>
            </w:r>
          </w:p>
        </w:tc>
        <w:tc>
          <w:tcPr>
            <w:tcW w:w="1279" w:type="dxa"/>
            <w:tcBorders/>
            <w:shd w:color="auto" w:fill="auto" w:val="clear"/>
            <w:vAlign w:val="bottom"/>
          </w:tcPr>
          <w:p>
            <w:pPr>
              <w:pStyle w:val="Standard"/>
              <w:widowControl w:val="false"/>
              <w:jc w:val="right"/>
              <w:rPr>
                <w:sz w:val="20"/>
                <w:szCs w:val="20"/>
              </w:rPr>
            </w:pPr>
            <w:r>
              <w:rPr>
                <w:sz w:val="20"/>
                <w:szCs w:val="20"/>
              </w:rPr>
              <w:t>3</w:t>
            </w:r>
          </w:p>
        </w:tc>
        <w:tc>
          <w:tcPr>
            <w:tcW w:w="1279" w:type="dxa"/>
            <w:tcBorders/>
            <w:shd w:color="auto" w:fill="auto" w:val="clear"/>
            <w:vAlign w:val="bottom"/>
          </w:tcPr>
          <w:p>
            <w:pPr>
              <w:pStyle w:val="Standard"/>
              <w:widowControl w:val="false"/>
              <w:rPr>
                <w:sz w:val="20"/>
                <w:szCs w:val="20"/>
              </w:rPr>
            </w:pPr>
            <w:r>
              <w:rPr>
                <w:sz w:val="20"/>
                <w:szCs w:val="20"/>
              </w:rPr>
              <w:t>Age 3</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4</w:t>
            </w:r>
          </w:p>
        </w:tc>
        <w:tc>
          <w:tcPr>
            <w:tcW w:w="1279" w:type="dxa"/>
            <w:tcBorders/>
            <w:shd w:color="auto" w:fill="auto" w:val="clear"/>
            <w:vAlign w:val="bottom"/>
          </w:tcPr>
          <w:p>
            <w:pPr>
              <w:pStyle w:val="Standard"/>
              <w:widowControl w:val="false"/>
              <w:jc w:val="right"/>
              <w:rPr>
                <w:sz w:val="20"/>
                <w:szCs w:val="20"/>
              </w:rPr>
            </w:pPr>
            <w:r>
              <w:rPr>
                <w:sz w:val="20"/>
                <w:szCs w:val="20"/>
              </w:rPr>
              <w:t>4</w:t>
            </w:r>
          </w:p>
        </w:tc>
        <w:tc>
          <w:tcPr>
            <w:tcW w:w="1279" w:type="dxa"/>
            <w:tcBorders/>
            <w:shd w:color="auto" w:fill="auto" w:val="clear"/>
            <w:vAlign w:val="bottom"/>
          </w:tcPr>
          <w:p>
            <w:pPr>
              <w:pStyle w:val="Standard"/>
              <w:widowControl w:val="false"/>
              <w:rPr>
                <w:sz w:val="20"/>
                <w:szCs w:val="20"/>
              </w:rPr>
            </w:pPr>
            <w:r>
              <w:rPr>
                <w:sz w:val="20"/>
                <w:szCs w:val="20"/>
              </w:rPr>
              <w:t>Age 4</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5</w:t>
            </w:r>
          </w:p>
        </w:tc>
        <w:tc>
          <w:tcPr>
            <w:tcW w:w="1279" w:type="dxa"/>
            <w:tcBorders/>
            <w:shd w:color="auto" w:fill="auto" w:val="clear"/>
            <w:vAlign w:val="bottom"/>
          </w:tcPr>
          <w:p>
            <w:pPr>
              <w:pStyle w:val="Standard"/>
              <w:widowControl w:val="false"/>
              <w:jc w:val="right"/>
              <w:rPr>
                <w:sz w:val="20"/>
                <w:szCs w:val="20"/>
              </w:rPr>
            </w:pPr>
            <w:r>
              <w:rPr>
                <w:sz w:val="20"/>
                <w:szCs w:val="20"/>
              </w:rPr>
              <w:t>5</w:t>
            </w:r>
          </w:p>
        </w:tc>
        <w:tc>
          <w:tcPr>
            <w:tcW w:w="1279" w:type="dxa"/>
            <w:tcBorders/>
            <w:shd w:color="auto" w:fill="auto" w:val="clear"/>
            <w:vAlign w:val="bottom"/>
          </w:tcPr>
          <w:p>
            <w:pPr>
              <w:pStyle w:val="Standard"/>
              <w:widowControl w:val="false"/>
              <w:rPr>
                <w:sz w:val="20"/>
                <w:szCs w:val="20"/>
              </w:rPr>
            </w:pPr>
            <w:r>
              <w:rPr>
                <w:sz w:val="20"/>
                <w:szCs w:val="20"/>
              </w:rPr>
              <w:t>Age 5</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6</w:t>
            </w:r>
          </w:p>
        </w:tc>
        <w:tc>
          <w:tcPr>
            <w:tcW w:w="1279" w:type="dxa"/>
            <w:tcBorders/>
            <w:shd w:color="auto" w:fill="auto" w:val="clear"/>
            <w:vAlign w:val="bottom"/>
          </w:tcPr>
          <w:p>
            <w:pPr>
              <w:pStyle w:val="Standard"/>
              <w:widowControl w:val="false"/>
              <w:jc w:val="right"/>
              <w:rPr>
                <w:sz w:val="20"/>
                <w:szCs w:val="20"/>
              </w:rPr>
            </w:pPr>
            <w:r>
              <w:rPr>
                <w:sz w:val="20"/>
                <w:szCs w:val="20"/>
              </w:rPr>
              <w:t>6</w:t>
            </w:r>
          </w:p>
        </w:tc>
        <w:tc>
          <w:tcPr>
            <w:tcW w:w="1279" w:type="dxa"/>
            <w:tcBorders/>
            <w:shd w:color="auto" w:fill="auto" w:val="clear"/>
            <w:vAlign w:val="bottom"/>
          </w:tcPr>
          <w:p>
            <w:pPr>
              <w:pStyle w:val="Standard"/>
              <w:widowControl w:val="false"/>
              <w:rPr>
                <w:sz w:val="20"/>
                <w:szCs w:val="20"/>
              </w:rPr>
            </w:pPr>
            <w:r>
              <w:rPr>
                <w:sz w:val="20"/>
                <w:szCs w:val="20"/>
              </w:rPr>
              <w:t>Age 6</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7</w:t>
            </w:r>
          </w:p>
        </w:tc>
        <w:tc>
          <w:tcPr>
            <w:tcW w:w="1279" w:type="dxa"/>
            <w:tcBorders/>
            <w:shd w:color="auto" w:fill="auto" w:val="clear"/>
            <w:vAlign w:val="bottom"/>
          </w:tcPr>
          <w:p>
            <w:pPr>
              <w:pStyle w:val="Standard"/>
              <w:widowControl w:val="false"/>
              <w:jc w:val="right"/>
              <w:rPr>
                <w:sz w:val="20"/>
                <w:szCs w:val="20"/>
              </w:rPr>
            </w:pPr>
            <w:r>
              <w:rPr>
                <w:sz w:val="20"/>
                <w:szCs w:val="20"/>
              </w:rPr>
              <w:t>7</w:t>
            </w:r>
          </w:p>
        </w:tc>
        <w:tc>
          <w:tcPr>
            <w:tcW w:w="1279" w:type="dxa"/>
            <w:tcBorders/>
            <w:shd w:color="auto" w:fill="auto" w:val="clear"/>
            <w:vAlign w:val="bottom"/>
          </w:tcPr>
          <w:p>
            <w:pPr>
              <w:pStyle w:val="Standard"/>
              <w:widowControl w:val="false"/>
              <w:rPr>
                <w:sz w:val="20"/>
                <w:szCs w:val="20"/>
              </w:rPr>
            </w:pPr>
            <w:r>
              <w:rPr>
                <w:sz w:val="20"/>
                <w:szCs w:val="20"/>
              </w:rPr>
              <w:t>Age 7</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8</w:t>
            </w:r>
          </w:p>
        </w:tc>
        <w:tc>
          <w:tcPr>
            <w:tcW w:w="1279" w:type="dxa"/>
            <w:tcBorders/>
            <w:shd w:color="auto" w:fill="auto" w:val="clear"/>
            <w:vAlign w:val="bottom"/>
          </w:tcPr>
          <w:p>
            <w:pPr>
              <w:pStyle w:val="Standard"/>
              <w:widowControl w:val="false"/>
              <w:jc w:val="right"/>
              <w:rPr>
                <w:sz w:val="20"/>
                <w:szCs w:val="20"/>
              </w:rPr>
            </w:pPr>
            <w:r>
              <w:rPr>
                <w:sz w:val="20"/>
                <w:szCs w:val="20"/>
              </w:rPr>
              <w:t>8</w:t>
            </w:r>
          </w:p>
        </w:tc>
        <w:tc>
          <w:tcPr>
            <w:tcW w:w="1279" w:type="dxa"/>
            <w:tcBorders/>
            <w:shd w:color="auto" w:fill="auto" w:val="clear"/>
            <w:vAlign w:val="bottom"/>
          </w:tcPr>
          <w:p>
            <w:pPr>
              <w:pStyle w:val="Standard"/>
              <w:widowControl w:val="false"/>
              <w:rPr>
                <w:sz w:val="20"/>
                <w:szCs w:val="20"/>
              </w:rPr>
            </w:pPr>
            <w:r>
              <w:rPr>
                <w:sz w:val="20"/>
                <w:szCs w:val="20"/>
              </w:rPr>
              <w:t>Age 8</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9</w:t>
            </w:r>
          </w:p>
        </w:tc>
        <w:tc>
          <w:tcPr>
            <w:tcW w:w="1279" w:type="dxa"/>
            <w:tcBorders/>
            <w:shd w:color="auto" w:fill="auto" w:val="clear"/>
            <w:vAlign w:val="bottom"/>
          </w:tcPr>
          <w:p>
            <w:pPr>
              <w:pStyle w:val="Standard"/>
              <w:widowControl w:val="false"/>
              <w:jc w:val="right"/>
              <w:rPr>
                <w:sz w:val="20"/>
                <w:szCs w:val="20"/>
              </w:rPr>
            </w:pPr>
            <w:r>
              <w:rPr>
                <w:sz w:val="20"/>
                <w:szCs w:val="20"/>
              </w:rPr>
              <w:t>9</w:t>
            </w:r>
          </w:p>
        </w:tc>
        <w:tc>
          <w:tcPr>
            <w:tcW w:w="1279" w:type="dxa"/>
            <w:tcBorders/>
            <w:shd w:color="auto" w:fill="auto" w:val="clear"/>
            <w:vAlign w:val="bottom"/>
          </w:tcPr>
          <w:p>
            <w:pPr>
              <w:pStyle w:val="Standard"/>
              <w:widowControl w:val="false"/>
              <w:rPr>
                <w:sz w:val="20"/>
                <w:szCs w:val="20"/>
              </w:rPr>
            </w:pPr>
            <w:r>
              <w:rPr>
                <w:sz w:val="20"/>
                <w:szCs w:val="20"/>
              </w:rPr>
              <w:t>Age 9</w:t>
            </w:r>
          </w:p>
        </w:tc>
      </w:tr>
      <w:tr>
        <w:trPr>
          <w:trHeight w:val="256" w:hRule="atLeast"/>
        </w:trPr>
        <w:tc>
          <w:tcPr>
            <w:tcW w:w="1309" w:type="dxa"/>
            <w:tcBorders/>
            <w:shd w:color="auto" w:fill="auto" w:val="clear"/>
            <w:vAlign w:val="bottom"/>
          </w:tcPr>
          <w:p>
            <w:pPr>
              <w:pStyle w:val="Standard"/>
              <w:widowControl w:val="false"/>
              <w:jc w:val="right"/>
              <w:rPr>
                <w:sz w:val="20"/>
                <w:szCs w:val="20"/>
              </w:rPr>
            </w:pPr>
            <w:r>
              <w:rPr>
                <w:sz w:val="20"/>
                <w:szCs w:val="20"/>
              </w:rPr>
              <w:t>2019</w:t>
            </w:r>
          </w:p>
        </w:tc>
        <w:tc>
          <w:tcPr>
            <w:tcW w:w="1280" w:type="dxa"/>
            <w:tcBorders/>
            <w:shd w:color="auto" w:fill="auto" w:val="clear"/>
            <w:vAlign w:val="bottom"/>
          </w:tcPr>
          <w:p>
            <w:pPr>
              <w:pStyle w:val="Standard"/>
              <w:widowControl w:val="false"/>
              <w:jc w:val="right"/>
              <w:rPr>
                <w:sz w:val="20"/>
                <w:szCs w:val="20"/>
              </w:rPr>
            </w:pPr>
            <w:r>
              <w:rPr>
                <w:sz w:val="20"/>
                <w:szCs w:val="20"/>
              </w:rPr>
              <w:t>126441</w:t>
            </w:r>
          </w:p>
        </w:tc>
        <w:tc>
          <w:tcPr>
            <w:tcW w:w="1279" w:type="dxa"/>
            <w:tcBorders/>
            <w:shd w:color="auto" w:fill="auto" w:val="clear"/>
            <w:vAlign w:val="bottom"/>
          </w:tcPr>
          <w:p>
            <w:pPr>
              <w:pStyle w:val="Standard"/>
              <w:widowControl w:val="false"/>
              <w:rPr>
                <w:sz w:val="20"/>
                <w:szCs w:val="20"/>
              </w:rPr>
            </w:pPr>
            <w:r>
              <w:rPr>
                <w:sz w:val="20"/>
                <w:szCs w:val="20"/>
              </w:rPr>
              <w:t>Age</w:t>
            </w:r>
          </w:p>
        </w:tc>
        <w:tc>
          <w:tcPr>
            <w:tcW w:w="1283" w:type="dxa"/>
            <w:tcBorders/>
            <w:shd w:color="auto" w:fill="auto" w:val="clear"/>
            <w:vAlign w:val="bottom"/>
          </w:tcPr>
          <w:p>
            <w:pPr>
              <w:pStyle w:val="Standard"/>
              <w:widowControl w:val="false"/>
              <w:jc w:val="right"/>
              <w:rPr>
                <w:sz w:val="20"/>
                <w:szCs w:val="20"/>
              </w:rPr>
            </w:pPr>
            <w:r>
              <w:rPr>
                <w:sz w:val="20"/>
                <w:szCs w:val="20"/>
              </w:rPr>
              <w:t>10</w:t>
            </w:r>
          </w:p>
        </w:tc>
        <w:tc>
          <w:tcPr>
            <w:tcW w:w="1279" w:type="dxa"/>
            <w:tcBorders/>
            <w:shd w:color="auto" w:fill="auto" w:val="clear"/>
            <w:vAlign w:val="bottom"/>
          </w:tcPr>
          <w:p>
            <w:pPr>
              <w:pStyle w:val="Standard"/>
              <w:widowControl w:val="false"/>
              <w:jc w:val="right"/>
              <w:rPr>
                <w:sz w:val="20"/>
                <w:szCs w:val="20"/>
              </w:rPr>
            </w:pPr>
            <w:r>
              <w:rPr>
                <w:sz w:val="20"/>
                <w:szCs w:val="20"/>
              </w:rPr>
              <w:t>50</w:t>
            </w:r>
          </w:p>
        </w:tc>
        <w:tc>
          <w:tcPr>
            <w:tcW w:w="1279" w:type="dxa"/>
            <w:tcBorders/>
            <w:shd w:color="auto" w:fill="auto" w:val="clear"/>
            <w:vAlign w:val="bottom"/>
          </w:tcPr>
          <w:p>
            <w:pPr>
              <w:pStyle w:val="Standard"/>
              <w:widowControl w:val="false"/>
              <w:rPr>
                <w:sz w:val="20"/>
                <w:szCs w:val="20"/>
              </w:rPr>
            </w:pPr>
            <w:r>
              <w:rPr>
                <w:sz w:val="20"/>
                <w:szCs w:val="20"/>
              </w:rPr>
              <w:t>Age 10+</w:t>
            </w:r>
          </w:p>
        </w:tc>
      </w:tr>
    </w:tbl>
    <w:p>
      <w:pPr>
        <w:pStyle w:val="Standard"/>
        <w:rPr/>
      </w:pPr>
      <w:r>
        <w:rPr/>
      </w:r>
    </w:p>
    <w:p>
      <w:pPr>
        <w:pStyle w:val="Standard"/>
        <w:rPr>
          <w:b/>
          <w:b/>
          <w:bCs/>
        </w:rPr>
      </w:pPr>
      <w:r>
        <w:rPr>
          <w:b/>
          <w:bCs/>
        </w:rPr>
      </w:r>
    </w:p>
    <w:p>
      <w:pPr>
        <w:pStyle w:val="Textbody"/>
        <w:rPr>
          <w:b/>
          <w:b/>
          <w:bCs/>
        </w:rPr>
      </w:pPr>
      <w:r>
        <w:rPr>
          <w:b/>
          <w:bCs/>
        </w:rPr>
        <w:t>Example ESTIMATES:</w:t>
      </w:r>
    </w:p>
    <w:tbl>
      <w:tblPr>
        <w:tblW w:w="8990" w:type="dxa"/>
        <w:jc w:val="left"/>
        <w:tblInd w:w="-30" w:type="dxa"/>
        <w:tblLayout w:type="fixed"/>
        <w:tblCellMar>
          <w:top w:w="0" w:type="dxa"/>
          <w:left w:w="30" w:type="dxa"/>
          <w:bottom w:w="0" w:type="dxa"/>
          <w:right w:w="30" w:type="dxa"/>
        </w:tblCellMar>
        <w:tblLook w:val="04a0" w:noHBand="0" w:noVBand="1" w:firstColumn="1" w:lastRow="0" w:lastColumn="0" w:firstRow="1"/>
      </w:tblPr>
      <w:tblGrid>
        <w:gridCol w:w="1308"/>
        <w:gridCol w:w="1282"/>
        <w:gridCol w:w="1280"/>
        <w:gridCol w:w="1280"/>
        <w:gridCol w:w="1278"/>
        <w:gridCol w:w="1280"/>
        <w:gridCol w:w="1281"/>
      </w:tblGrid>
      <w:tr>
        <w:trPr>
          <w:trHeight w:val="300" w:hRule="atLeast"/>
        </w:trPr>
        <w:tc>
          <w:tcPr>
            <w:tcW w:w="1308" w:type="dxa"/>
            <w:tcBorders/>
            <w:shd w:color="auto" w:fill="auto" w:val="clear"/>
            <w:vAlign w:val="bottom"/>
          </w:tcPr>
          <w:p>
            <w:pPr>
              <w:pStyle w:val="Standard"/>
              <w:widowControl w:val="false"/>
              <w:rPr>
                <w:sz w:val="20"/>
                <w:szCs w:val="20"/>
              </w:rPr>
            </w:pPr>
            <w:r>
              <w:rPr>
                <w:sz w:val="20"/>
                <w:szCs w:val="20"/>
              </w:rPr>
              <w:t>year</w:t>
            </w:r>
          </w:p>
        </w:tc>
        <w:tc>
          <w:tcPr>
            <w:tcW w:w="1282" w:type="dxa"/>
            <w:tcBorders/>
            <w:shd w:color="auto" w:fill="auto" w:val="clear"/>
            <w:vAlign w:val="bottom"/>
          </w:tcPr>
          <w:p>
            <w:pPr>
              <w:pStyle w:val="Standard"/>
              <w:widowControl w:val="false"/>
              <w:rPr>
                <w:sz w:val="20"/>
                <w:szCs w:val="20"/>
              </w:rPr>
            </w:pPr>
            <w:r>
              <w:rPr>
                <w:sz w:val="20"/>
                <w:szCs w:val="20"/>
              </w:rPr>
              <w:t>speciesCode</w:t>
            </w:r>
          </w:p>
        </w:tc>
        <w:tc>
          <w:tcPr>
            <w:tcW w:w="1280" w:type="dxa"/>
            <w:tcBorders/>
            <w:shd w:color="auto" w:fill="auto" w:val="clear"/>
            <w:vAlign w:val="bottom"/>
          </w:tcPr>
          <w:p>
            <w:pPr>
              <w:pStyle w:val="Standard"/>
              <w:widowControl w:val="false"/>
              <w:rPr>
                <w:sz w:val="20"/>
                <w:szCs w:val="20"/>
              </w:rPr>
            </w:pPr>
            <w:r>
              <w:rPr>
                <w:sz w:val="20"/>
                <w:szCs w:val="20"/>
              </w:rPr>
              <w:t>activityDomain</w:t>
            </w:r>
          </w:p>
        </w:tc>
        <w:tc>
          <w:tcPr>
            <w:tcW w:w="1280" w:type="dxa"/>
            <w:tcBorders/>
            <w:shd w:color="auto" w:fill="auto" w:val="clear"/>
            <w:vAlign w:val="bottom"/>
          </w:tcPr>
          <w:p>
            <w:pPr>
              <w:pStyle w:val="Standard"/>
              <w:widowControl w:val="false"/>
              <w:rPr>
                <w:sz w:val="20"/>
                <w:szCs w:val="20"/>
              </w:rPr>
            </w:pPr>
            <w:r>
              <w:rPr>
                <w:sz w:val="20"/>
                <w:szCs w:val="20"/>
              </w:rPr>
              <w:t>fishDomain</w:t>
            </w:r>
          </w:p>
        </w:tc>
        <w:tc>
          <w:tcPr>
            <w:tcW w:w="1278" w:type="dxa"/>
            <w:tcBorders/>
            <w:shd w:color="auto" w:fill="auto" w:val="clear"/>
            <w:vAlign w:val="bottom"/>
          </w:tcPr>
          <w:p>
            <w:pPr>
              <w:pStyle w:val="Standard"/>
              <w:widowControl w:val="false"/>
              <w:rPr>
                <w:sz w:val="20"/>
                <w:szCs w:val="20"/>
              </w:rPr>
            </w:pPr>
            <w:r>
              <w:rPr>
                <w:sz w:val="20"/>
                <w:szCs w:val="20"/>
              </w:rPr>
              <w:t>Variable</w:t>
            </w:r>
          </w:p>
        </w:tc>
        <w:tc>
          <w:tcPr>
            <w:tcW w:w="1280" w:type="dxa"/>
            <w:tcBorders/>
            <w:shd w:color="auto" w:fill="auto" w:val="clear"/>
            <w:vAlign w:val="bottom"/>
          </w:tcPr>
          <w:p>
            <w:pPr>
              <w:pStyle w:val="Standard"/>
              <w:widowControl w:val="false"/>
              <w:rPr>
                <w:sz w:val="20"/>
                <w:szCs w:val="20"/>
              </w:rPr>
            </w:pPr>
            <w:r>
              <w:rPr>
                <w:sz w:val="20"/>
                <w:szCs w:val="20"/>
              </w:rPr>
              <w:t>total</w:t>
            </w:r>
          </w:p>
        </w:tc>
        <w:tc>
          <w:tcPr>
            <w:tcW w:w="1281" w:type="dxa"/>
            <w:tcBorders/>
            <w:shd w:color="auto" w:fill="auto" w:val="clear"/>
            <w:vAlign w:val="bottom"/>
          </w:tcPr>
          <w:p>
            <w:pPr>
              <w:pStyle w:val="Standard"/>
              <w:widowControl w:val="false"/>
              <w:rPr>
                <w:sz w:val="20"/>
                <w:szCs w:val="20"/>
              </w:rPr>
            </w:pPr>
            <w:r>
              <w:rPr>
                <w:sz w:val="20"/>
                <w:szCs w:val="20"/>
              </w:rPr>
              <w:t>mean</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1</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410</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2</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1986</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3</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50420</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4</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263000</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5</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488100</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6</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446700</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7</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104400</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8</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38990</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9</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48540</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10+</w:t>
            </w:r>
          </w:p>
        </w:tc>
        <w:tc>
          <w:tcPr>
            <w:tcW w:w="1278" w:type="dxa"/>
            <w:tcBorders/>
            <w:shd w:color="auto" w:fill="auto" w:val="clear"/>
            <w:vAlign w:val="bottom"/>
          </w:tcPr>
          <w:p>
            <w:pPr>
              <w:pStyle w:val="Standard"/>
              <w:widowControl w:val="false"/>
              <w:rPr>
                <w:sz w:val="20"/>
                <w:szCs w:val="20"/>
              </w:rPr>
            </w:pPr>
            <w:r>
              <w:rPr>
                <w:sz w:val="20"/>
                <w:szCs w:val="20"/>
              </w:rPr>
              <w:t>Abundance</w:t>
            </w:r>
          </w:p>
        </w:tc>
        <w:tc>
          <w:tcPr>
            <w:tcW w:w="1280" w:type="dxa"/>
            <w:tcBorders/>
            <w:shd w:color="auto" w:fill="auto" w:val="clear"/>
            <w:vAlign w:val="bottom"/>
          </w:tcPr>
          <w:p>
            <w:pPr>
              <w:pStyle w:val="Standard"/>
              <w:widowControl w:val="false"/>
              <w:jc w:val="right"/>
              <w:rPr>
                <w:sz w:val="20"/>
                <w:szCs w:val="20"/>
              </w:rPr>
            </w:pPr>
            <w:r>
              <w:rPr>
                <w:sz w:val="20"/>
                <w:szCs w:val="20"/>
              </w:rPr>
              <w:t>15510</w:t>
            </w:r>
          </w:p>
        </w:tc>
        <w:tc>
          <w:tcPr>
            <w:tcW w:w="1281" w:type="dxa"/>
            <w:tcBorders/>
            <w:shd w:color="auto" w:fill="auto" w:val="clear"/>
            <w:vAlign w:val="bottom"/>
          </w:tcPr>
          <w:p>
            <w:pPr>
              <w:pStyle w:val="Standard"/>
              <w:widowControl w:val="false"/>
              <w:rPr>
                <w:sz w:val="20"/>
                <w:szCs w:val="20"/>
              </w:rPr>
            </w:pPr>
            <w:r>
              <w:rPr>
                <w:sz w:val="20"/>
                <w:szCs w:val="20"/>
              </w:rPr>
              <w:t>NA</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1</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440</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2</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797</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3</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1205</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4</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1658</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5</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2148</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6</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2673</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7</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3229</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8</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3813</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9</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4425</w:t>
            </w:r>
          </w:p>
        </w:tc>
      </w:tr>
      <w:tr>
        <w:trPr>
          <w:trHeight w:val="256" w:hRule="atLeast"/>
        </w:trPr>
        <w:tc>
          <w:tcPr>
            <w:tcW w:w="1308" w:type="dxa"/>
            <w:tcBorders/>
            <w:shd w:color="auto" w:fill="auto" w:val="clear"/>
            <w:vAlign w:val="bottom"/>
          </w:tcPr>
          <w:p>
            <w:pPr>
              <w:pStyle w:val="Standard"/>
              <w:widowControl w:val="false"/>
              <w:jc w:val="right"/>
              <w:rPr>
                <w:sz w:val="20"/>
                <w:szCs w:val="20"/>
              </w:rPr>
            </w:pPr>
            <w:r>
              <w:rPr>
                <w:sz w:val="20"/>
                <w:szCs w:val="20"/>
              </w:rPr>
              <w:t>2019</w:t>
            </w:r>
          </w:p>
        </w:tc>
        <w:tc>
          <w:tcPr>
            <w:tcW w:w="1282" w:type="dxa"/>
            <w:tcBorders/>
            <w:shd w:color="auto" w:fill="auto" w:val="clear"/>
            <w:vAlign w:val="bottom"/>
          </w:tcPr>
          <w:p>
            <w:pPr>
              <w:pStyle w:val="Standard"/>
              <w:widowControl w:val="false"/>
              <w:jc w:val="right"/>
              <w:rPr>
                <w:sz w:val="20"/>
                <w:szCs w:val="20"/>
              </w:rPr>
            </w:pPr>
            <w:r>
              <w:rPr>
                <w:sz w:val="20"/>
                <w:szCs w:val="20"/>
              </w:rPr>
              <w:t>126441</w:t>
            </w:r>
          </w:p>
        </w:tc>
        <w:tc>
          <w:tcPr>
            <w:tcW w:w="1280" w:type="dxa"/>
            <w:tcBorders/>
            <w:shd w:color="auto" w:fill="auto" w:val="clear"/>
            <w:vAlign w:val="bottom"/>
          </w:tcPr>
          <w:p>
            <w:pPr>
              <w:pStyle w:val="Standard"/>
              <w:widowControl w:val="false"/>
              <w:rPr>
                <w:sz w:val="20"/>
                <w:szCs w:val="20"/>
              </w:rPr>
            </w:pPr>
            <w:r>
              <w:rPr>
                <w:sz w:val="20"/>
                <w:szCs w:val="20"/>
              </w:rPr>
              <w:t>pok.27.3a46</w:t>
            </w:r>
          </w:p>
        </w:tc>
        <w:tc>
          <w:tcPr>
            <w:tcW w:w="1280" w:type="dxa"/>
            <w:tcBorders/>
            <w:shd w:color="auto" w:fill="auto" w:val="clear"/>
            <w:vAlign w:val="bottom"/>
          </w:tcPr>
          <w:p>
            <w:pPr>
              <w:pStyle w:val="Standard"/>
              <w:widowControl w:val="false"/>
              <w:rPr>
                <w:sz w:val="20"/>
                <w:szCs w:val="20"/>
              </w:rPr>
            </w:pPr>
            <w:r>
              <w:rPr>
                <w:sz w:val="20"/>
                <w:szCs w:val="20"/>
              </w:rPr>
              <w:t>Age 10+</w:t>
            </w:r>
          </w:p>
        </w:tc>
        <w:tc>
          <w:tcPr>
            <w:tcW w:w="1278" w:type="dxa"/>
            <w:tcBorders/>
            <w:shd w:color="auto" w:fill="auto" w:val="clear"/>
            <w:vAlign w:val="bottom"/>
          </w:tcPr>
          <w:p>
            <w:pPr>
              <w:pStyle w:val="Standard"/>
              <w:widowControl w:val="false"/>
              <w:rPr>
                <w:sz w:val="20"/>
                <w:szCs w:val="20"/>
              </w:rPr>
            </w:pPr>
            <w:r>
              <w:rPr>
                <w:sz w:val="20"/>
                <w:szCs w:val="20"/>
              </w:rPr>
              <w:t>WeightLive</w:t>
            </w:r>
          </w:p>
        </w:tc>
        <w:tc>
          <w:tcPr>
            <w:tcW w:w="1280" w:type="dxa"/>
            <w:tcBorders/>
            <w:shd w:color="auto" w:fill="auto" w:val="clear"/>
            <w:vAlign w:val="bottom"/>
          </w:tcPr>
          <w:p>
            <w:pPr>
              <w:pStyle w:val="Standard"/>
              <w:widowControl w:val="false"/>
              <w:rPr>
                <w:sz w:val="20"/>
                <w:szCs w:val="20"/>
              </w:rPr>
            </w:pPr>
            <w:r>
              <w:rPr>
                <w:sz w:val="20"/>
                <w:szCs w:val="20"/>
              </w:rPr>
              <w:t>NA</w:t>
            </w:r>
          </w:p>
        </w:tc>
        <w:tc>
          <w:tcPr>
            <w:tcW w:w="1281" w:type="dxa"/>
            <w:tcBorders/>
            <w:shd w:color="auto" w:fill="auto" w:val="clear"/>
            <w:vAlign w:val="bottom"/>
          </w:tcPr>
          <w:p>
            <w:pPr>
              <w:pStyle w:val="Standard"/>
              <w:widowControl w:val="false"/>
              <w:jc w:val="right"/>
              <w:rPr>
                <w:sz w:val="20"/>
                <w:szCs w:val="20"/>
              </w:rPr>
            </w:pPr>
            <w:r>
              <w:rPr>
                <w:sz w:val="20"/>
                <w:szCs w:val="20"/>
              </w:rPr>
              <w:t>6916</w:t>
            </w:r>
          </w:p>
        </w:tc>
      </w:tr>
    </w:tbl>
    <w:p>
      <w:pPr>
        <w:pStyle w:val="Standard"/>
        <w:rPr/>
      </w:pPr>
      <w:r>
        <w:rPr/>
      </w:r>
    </w:p>
    <w:p>
      <w:pPr>
        <w:pStyle w:val="Standard"/>
        <w:rPr>
          <w:b/>
          <w:b/>
          <w:bCs/>
        </w:rPr>
      </w:pPr>
      <w:r>
        <w:rPr/>
      </w:r>
    </w:p>
    <w:sectPr>
      <w:footnotePr>
        <w:numFmt w:val="decimal"/>
      </w:footnotePr>
      <w:type w:val="nextPage"/>
      <w:pgSz w:w="11906" w:h="16838"/>
      <w:pgMar w:left="1701"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Segoe UI">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alibri">
    <w:charset w:val="01"/>
    <w:family w:val="roman"/>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tnotetegn"/>
        </w:rPr>
        <w:footnoteRef/>
      </w:r>
      <w:r>
        <w:rPr/>
        <w:tab/>
        <w:t>Consider for instance that both ‘quarter’ and ‘month’ is in the format. The interpretation of NA (missing value) in one will depend on the values in the other.</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en-US" w:eastAsia="zh-CN" w:bidi="hi-IN"/>
    </w:rPr>
  </w:style>
  <w:style w:type="paragraph" w:styleId="Overskrift1">
    <w:name w:val="Heading 1"/>
    <w:basedOn w:val="Overskrift"/>
    <w:next w:val="Brdtekst"/>
    <w:qFormat/>
    <w:pPr>
      <w:numPr>
        <w:ilvl w:val="0"/>
        <w:numId w:val="1"/>
      </w:numPr>
      <w:spacing w:before="240" w:after="120"/>
      <w:outlineLvl w:val="0"/>
    </w:pPr>
    <w:rPr>
      <w:b/>
      <w:bCs/>
      <w:sz w:val="36"/>
      <w:szCs w:val="36"/>
    </w:rPr>
  </w:style>
  <w:style w:type="character" w:styleId="DefaultParagraphFont" w:default="1">
    <w:name w:val="Default Paragraph Font"/>
    <w:uiPriority w:val="1"/>
    <w:semiHidden/>
    <w:unhideWhenUsed/>
    <w:qFormat/>
    <w:rPr/>
  </w:style>
  <w:style w:type="character" w:styleId="Policepardfaut" w:customStyle="1">
    <w:name w:val="Police par défaut"/>
    <w:qFormat/>
    <w:rPr/>
  </w:style>
  <w:style w:type="character" w:styleId="Internettlenke" w:customStyle="1">
    <w:name w:val="Internett-lenke"/>
    <w:qFormat/>
    <w:rPr>
      <w:color w:val="000080"/>
      <w:u w:val="single"/>
    </w:rPr>
  </w:style>
  <w:style w:type="character" w:styleId="Kuler" w:customStyle="1">
    <w:name w:val="Kuler"/>
    <w:qFormat/>
    <w:rPr>
      <w:rFonts w:ascii="OpenSymbol" w:hAnsi="OpenSymbol" w:eastAsia="OpenSymbol" w:cs="OpenSymbol"/>
    </w:rPr>
  </w:style>
  <w:style w:type="character" w:styleId="FootnoteSymbol" w:customStyle="1">
    <w:name w:val="Footnote Symbol"/>
    <w:qFormat/>
    <w:rPr/>
  </w:style>
  <w:style w:type="character" w:styleId="Fotnoteanker" w:customStyle="1">
    <w:name w:val="Fotnoteanker"/>
    <w:rPr>
      <w:vertAlign w:val="superscript"/>
    </w:rPr>
  </w:style>
  <w:style w:type="character" w:styleId="Nummereringstegn" w:customStyle="1">
    <w:name w:val="Nummereringstegn"/>
    <w:qFormat/>
    <w:rPr/>
  </w:style>
  <w:style w:type="character" w:styleId="Linenumbering" w:customStyle="1">
    <w:name w:val="Line numbering"/>
    <w:qFormat/>
    <w:rPr/>
  </w:style>
  <w:style w:type="character" w:styleId="Appelnotedebasdep" w:customStyle="1">
    <w:name w:val="Appel note de bas de p."/>
    <w:basedOn w:val="Policepardfaut"/>
    <w:qFormat/>
    <w:rPr>
      <w:vertAlign w:val="superscript"/>
    </w:rPr>
  </w:style>
  <w:style w:type="character" w:styleId="Marquedecommentaire" w:customStyle="1">
    <w:name w:val="Marque de commentaire"/>
    <w:basedOn w:val="Policepardfaut"/>
    <w:qFormat/>
    <w:rPr>
      <w:sz w:val="16"/>
      <w:szCs w:val="16"/>
    </w:rPr>
  </w:style>
  <w:style w:type="character" w:styleId="CommentaireCar" w:customStyle="1">
    <w:name w:val="Commentaire Car"/>
    <w:basedOn w:val="Policepardfaut"/>
    <w:qFormat/>
    <w:rPr>
      <w:rFonts w:cs="Mangal"/>
      <w:sz w:val="20"/>
      <w:szCs w:val="18"/>
    </w:rPr>
  </w:style>
  <w:style w:type="character" w:styleId="ObjetducommentaireCar" w:customStyle="1">
    <w:name w:val="Objet du commentaire Car"/>
    <w:basedOn w:val="CommentaireCar"/>
    <w:qFormat/>
    <w:rPr>
      <w:rFonts w:cs="Mangal"/>
      <w:b/>
      <w:bCs/>
      <w:sz w:val="20"/>
      <w:szCs w:val="18"/>
    </w:rPr>
  </w:style>
  <w:style w:type="character" w:styleId="TextedebullesCar" w:customStyle="1">
    <w:name w:val="Texte de bulles Car"/>
    <w:basedOn w:val="Policepardfaut"/>
    <w:qFormat/>
    <w:rPr>
      <w:rFonts w:ascii="Segoe UI" w:hAnsi="Segoe UI" w:cs="Mangal"/>
      <w:sz w:val="18"/>
      <w:szCs w:val="16"/>
    </w:rPr>
  </w:style>
  <w:style w:type="character" w:styleId="BalloonTextChar" w:customStyle="1">
    <w:name w:val="Balloon Text Char"/>
    <w:basedOn w:val="DefaultParagraphFont"/>
    <w:link w:val="BalloonText"/>
    <w:uiPriority w:val="99"/>
    <w:semiHidden/>
    <w:qFormat/>
    <w:rsid w:val="00286bdc"/>
    <w:rPr>
      <w:rFonts w:ascii="Segoe UI" w:hAnsi="Segoe UI" w:cs="Mangal"/>
      <w:sz w:val="18"/>
      <w:szCs w:val="16"/>
    </w:rPr>
  </w:style>
  <w:style w:type="character" w:styleId="CommentTextChar" w:customStyle="1">
    <w:name w:val="Comment Text Char"/>
    <w:basedOn w:val="DefaultParagraphFont"/>
    <w:link w:val="Annotationtext"/>
    <w:uiPriority w:val="99"/>
    <w:semiHidden/>
    <w:qFormat/>
    <w:rPr>
      <w:rFonts w:cs="Mangal"/>
      <w:sz w:val="20"/>
      <w:szCs w:val="18"/>
    </w:rPr>
  </w:style>
  <w:style w:type="character" w:styleId="Annotationreference">
    <w:name w:val="annotation reference"/>
    <w:basedOn w:val="DefaultParagraphFont"/>
    <w:uiPriority w:val="99"/>
    <w:semiHidden/>
    <w:unhideWhenUsed/>
    <w:qFormat/>
    <w:rPr>
      <w:sz w:val="16"/>
      <w:szCs w:val="16"/>
    </w:rPr>
  </w:style>
  <w:style w:type="character" w:styleId="Fotnotetegn">
    <w:name w:val="Fotnotetegn"/>
    <w:basedOn w:val="DefaultParagraphFont"/>
    <w:uiPriority w:val="99"/>
    <w:semiHidden/>
    <w:unhideWhenUsed/>
    <w:qFormat/>
    <w:rPr>
      <w:vertAlign w:val="superscript"/>
    </w:rPr>
  </w:style>
  <w:style w:type="character" w:styleId="CommentSubjectChar" w:customStyle="1">
    <w:name w:val="Comment Subject Char"/>
    <w:basedOn w:val="CommentTextChar"/>
    <w:link w:val="Annotationsubject"/>
    <w:uiPriority w:val="99"/>
    <w:semiHidden/>
    <w:qFormat/>
    <w:rsid w:val="00676986"/>
    <w:rPr>
      <w:rFonts w:cs="Mangal"/>
      <w:b/>
      <w:bCs/>
      <w:sz w:val="20"/>
      <w:szCs w:val="18"/>
    </w:rPr>
  </w:style>
  <w:style w:type="character" w:styleId="Linjenummerering">
    <w:name w:val="Linjenummerering"/>
    <w:rPr/>
  </w:style>
  <w:style w:type="character" w:styleId="Sluttnoteanker">
    <w:name w:val="Sluttnoteanker"/>
    <w:rPr>
      <w:vertAlign w:val="superscript"/>
    </w:rPr>
  </w:style>
  <w:style w:type="character" w:styleId="Sluttnotetegn">
    <w:name w:val="Sluttnotetegn"/>
    <w:qFormat/>
    <w:rPr/>
  </w:style>
  <w:style w:type="paragraph" w:styleId="Overskrift" w:customStyle="1">
    <w:name w:val="Overskrift"/>
    <w:basedOn w:val="Standard"/>
    <w:next w:val="Textbody"/>
    <w:qFormat/>
    <w:pPr>
      <w:keepNext w:val="true"/>
      <w:spacing w:before="240" w:after="120"/>
    </w:pPr>
    <w:rPr>
      <w:rFonts w:ascii="Liberation Sans" w:hAnsi="Liberation Sans" w:eastAsia="Noto Sans CJK SC"/>
      <w:sz w:val="28"/>
      <w:szCs w:val="28"/>
    </w:rPr>
  </w:style>
  <w:style w:type="paragraph" w:styleId="Brdtekst">
    <w:name w:val="Body Text"/>
    <w:basedOn w:val="Normal"/>
    <w:pPr>
      <w:spacing w:lineRule="auto" w:line="276" w:before="0" w:after="140"/>
    </w:pPr>
    <w:rPr/>
  </w:style>
  <w:style w:type="paragraph" w:styleId="Liste" w:customStyle="1">
    <w:name w:val="List"/>
    <w:basedOn w:val="Textbody"/>
    <w:pPr/>
    <w:rPr/>
  </w:style>
  <w:style w:type="paragraph" w:styleId="Bildetekst">
    <w:name w:val="Caption"/>
    <w:basedOn w:val="Normal"/>
    <w:qFormat/>
    <w:pPr>
      <w:suppressLineNumbers/>
      <w:spacing w:before="120" w:after="120"/>
    </w:pPr>
    <w:rPr>
      <w:rFonts w:cs="Lohit Devanagari"/>
      <w:i/>
      <w:iCs/>
      <w:sz w:val="24"/>
      <w:szCs w:val="24"/>
    </w:rPr>
  </w:style>
  <w:style w:type="paragraph" w:styleId="Register" w:customStyle="1">
    <w:name w:val="Register"/>
    <w:basedOn w:val="Standard"/>
    <w:qFormat/>
    <w:pPr>
      <w:suppressLineNumbers/>
    </w:pPr>
    <w:rPr/>
  </w:style>
  <w:style w:type="paragraph" w:styleId="Titre1" w:customStyle="1">
    <w:name w:val="Titre 1"/>
    <w:basedOn w:val="Overskrift"/>
    <w:next w:val="Textbody"/>
    <w:qFormat/>
    <w:pPr>
      <w:outlineLvl w:val="0"/>
    </w:pPr>
    <w:rPr>
      <w:b/>
      <w:bCs/>
      <w:sz w:val="36"/>
      <w:szCs w:val="36"/>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en-US" w:eastAsia="zh-CN" w:bidi="hi-IN"/>
    </w:rPr>
  </w:style>
  <w:style w:type="paragraph" w:styleId="Textbody" w:customStyle="1">
    <w:name w:val="Text body"/>
    <w:basedOn w:val="Standard"/>
    <w:qFormat/>
    <w:pPr>
      <w:spacing w:lineRule="auto" w:line="276" w:before="0" w:after="140"/>
    </w:pPr>
    <w:rPr/>
  </w:style>
  <w:style w:type="paragraph" w:styleId="Titre2" w:customStyle="1">
    <w:name w:val="Titre 2"/>
    <w:basedOn w:val="Overskrift"/>
    <w:next w:val="Textbody"/>
    <w:qFormat/>
    <w:pPr>
      <w:spacing w:before="200" w:after="120"/>
      <w:outlineLvl w:val="1"/>
    </w:pPr>
    <w:rPr>
      <w:b/>
      <w:bCs/>
      <w:sz w:val="32"/>
      <w:szCs w:val="32"/>
    </w:rPr>
  </w:style>
  <w:style w:type="paragraph" w:styleId="Titre3" w:customStyle="1">
    <w:name w:val="Titre 3"/>
    <w:basedOn w:val="Overskrift"/>
    <w:next w:val="Textbody"/>
    <w:qFormat/>
    <w:pPr>
      <w:spacing w:before="140" w:after="120"/>
      <w:outlineLvl w:val="2"/>
    </w:pPr>
    <w:rPr>
      <w:b/>
      <w:bCs/>
    </w:rPr>
  </w:style>
  <w:style w:type="paragraph" w:styleId="Lgende" w:customStyle="1">
    <w:name w:val="Légende"/>
    <w:basedOn w:val="Standard"/>
    <w:qFormat/>
    <w:pPr>
      <w:suppressLineNumbers/>
      <w:spacing w:before="120" w:after="120"/>
    </w:pPr>
    <w:rPr>
      <w:i/>
      <w:iCs/>
    </w:rPr>
  </w:style>
  <w:style w:type="paragraph" w:styleId="Titre" w:customStyle="1">
    <w:name w:val="Titre"/>
    <w:basedOn w:val="Overskrift"/>
    <w:next w:val="Textbody"/>
    <w:qFormat/>
    <w:pPr>
      <w:jc w:val="center"/>
    </w:pPr>
    <w:rPr>
      <w:b/>
      <w:bCs/>
      <w:sz w:val="56"/>
      <w:szCs w:val="56"/>
    </w:rPr>
  </w:style>
  <w:style w:type="paragraph" w:styleId="Tabellinnhold" w:customStyle="1">
    <w:name w:val="Tabellinnhold"/>
    <w:basedOn w:val="Standard"/>
    <w:qFormat/>
    <w:pPr>
      <w:widowControl w:val="false"/>
      <w:suppressLineNumbers/>
    </w:pPr>
    <w:rPr/>
  </w:style>
  <w:style w:type="paragraph" w:styleId="Tabelloverskrift" w:customStyle="1">
    <w:name w:val="Tabelloverskrift"/>
    <w:basedOn w:val="Tabellinnhold"/>
    <w:qFormat/>
    <w:pPr>
      <w:jc w:val="center"/>
    </w:pPr>
    <w:rPr>
      <w:b/>
      <w:bCs/>
    </w:rPr>
  </w:style>
  <w:style w:type="paragraph" w:styleId="Footnote" w:customStyle="1">
    <w:name w:val="Footnote"/>
    <w:basedOn w:val="Standard"/>
    <w:qFormat/>
    <w:pPr>
      <w:suppressLineNumbers/>
      <w:ind w:left="340" w:hanging="340"/>
    </w:pPr>
    <w:rPr>
      <w:sz w:val="20"/>
      <w:szCs w:val="20"/>
    </w:rPr>
  </w:style>
  <w:style w:type="paragraph" w:styleId="Preformaterttekst" w:customStyle="1">
    <w:name w:val="Preformatert tekst"/>
    <w:basedOn w:val="Standard"/>
    <w:qFormat/>
    <w:pPr/>
    <w:rPr>
      <w:rFonts w:ascii="Liberation Mono" w:hAnsi="Liberation Mono" w:eastAsia="Noto Sans Mono CJK SC" w:cs="Liberation Mono"/>
      <w:sz w:val="20"/>
      <w:szCs w:val="20"/>
    </w:rPr>
  </w:style>
  <w:style w:type="paragraph" w:styleId="Commentaire" w:customStyle="1">
    <w:name w:val="Commentaire"/>
    <w:basedOn w:val="Normal"/>
    <w:qFormat/>
    <w:pPr/>
    <w:rPr>
      <w:rFonts w:cs="Mangal"/>
      <w:sz w:val="20"/>
      <w:szCs w:val="18"/>
    </w:rPr>
  </w:style>
  <w:style w:type="paragraph" w:styleId="Objetducommentaire" w:customStyle="1">
    <w:name w:val="Objet du commentaire"/>
    <w:basedOn w:val="Commentaire"/>
    <w:next w:val="Commentaire"/>
    <w:qFormat/>
    <w:pPr/>
    <w:rPr>
      <w:b/>
      <w:bCs/>
    </w:rPr>
  </w:style>
  <w:style w:type="paragraph" w:styleId="Textedebulles" w:customStyle="1">
    <w:name w:val="Texte de bulles"/>
    <w:basedOn w:val="Normal"/>
    <w:qFormat/>
    <w:pPr/>
    <w:rPr>
      <w:rFonts w:ascii="Segoe UI" w:hAnsi="Segoe UI" w:cs="Mangal"/>
      <w:sz w:val="18"/>
      <w:szCs w:val="16"/>
    </w:rPr>
  </w:style>
  <w:style w:type="paragraph" w:styleId="BalloonText">
    <w:name w:val="Balloon Text"/>
    <w:basedOn w:val="Normal"/>
    <w:link w:val="BalloonTextChar"/>
    <w:uiPriority w:val="99"/>
    <w:semiHidden/>
    <w:unhideWhenUsed/>
    <w:qFormat/>
    <w:rsid w:val="00286bdc"/>
    <w:pPr/>
    <w:rPr>
      <w:rFonts w:ascii="Segoe UI" w:hAnsi="Segoe UI" w:cs="Mangal"/>
      <w:sz w:val="18"/>
      <w:szCs w:val="16"/>
    </w:rPr>
  </w:style>
  <w:style w:type="paragraph" w:styleId="Annotationtext">
    <w:name w:val="annotation text"/>
    <w:basedOn w:val="Normal"/>
    <w:link w:val="CommentTextChar"/>
    <w:uiPriority w:val="99"/>
    <w:semiHidden/>
    <w:unhideWhenUsed/>
    <w:qFormat/>
    <w:pPr/>
    <w:rPr>
      <w:rFonts w:cs="Mangal"/>
      <w:sz w:val="20"/>
      <w:szCs w:val="18"/>
    </w:rPr>
  </w:style>
  <w:style w:type="paragraph" w:styleId="Annotationsubject">
    <w:name w:val="annotation subject"/>
    <w:basedOn w:val="Annotationtext"/>
    <w:next w:val="Annotationtext"/>
    <w:link w:val="CommentSubjectChar"/>
    <w:uiPriority w:val="99"/>
    <w:semiHidden/>
    <w:unhideWhenUsed/>
    <w:qFormat/>
    <w:rsid w:val="00676986"/>
    <w:pPr/>
    <w:rPr>
      <w:b/>
      <w:bCs/>
    </w:rPr>
  </w:style>
  <w:style w:type="paragraph" w:styleId="Fotnote">
    <w:name w:val="Footnote Text"/>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https://www.ices.dk/data/Documents/Intercatch/IC-ExchangeFormat1-0.pdf" TargetMode="External"/><Relationship Id="rId5" Type="http://schemas.openxmlformats.org/officeDocument/2006/relationships/hyperlink" Target="https://github.com/ices-tools-dev/RDBES/tree/master/Documents" TargetMode="External"/><Relationship Id="rId6" Type="http://schemas.openxmlformats.org/officeDocument/2006/relationships/hyperlink" Target="https://vocab.ices.dk/?ref=1606" TargetMode="External"/><Relationship Id="rId7" Type="http://schemas.openxmlformats.org/officeDocument/2006/relationships/hyperlink" Target="https://vocab.ices.dk/?ref=1606" TargetMode="External"/><Relationship Id="rId8" Type="http://schemas.openxmlformats.org/officeDocument/2006/relationships/hyperlink" Target="https://vocab.ices.dk/?ref=1606" TargetMode="External"/><Relationship Id="rId9" Type="http://schemas.openxmlformats.org/officeDocument/2006/relationships/hyperlink" Target="https://vocab.ices.dk/?ref=1606" TargetMode="External"/><Relationship Id="rId10" Type="http://schemas.openxmlformats.org/officeDocument/2006/relationships/hyperlink" Target="https://vocab.ices.dk/?ref=1606" TargetMode="External"/><Relationship Id="rId11" Type="http://schemas.openxmlformats.org/officeDocument/2006/relationships/hyperlink" Target="https://vocab.ices.dk/?ref=1606" TargetMode="External"/><Relationship Id="rId12" Type="http://schemas.openxmlformats.org/officeDocument/2006/relationships/hyperlink" Target="https://vocab.ices.dk/?ref=1606" TargetMode="External"/><Relationship Id="rId13" Type="http://schemas.openxmlformats.org/officeDocument/2006/relationships/hyperlink" Target="https://vocab.ices.dk/?ref=1606" TargetMode="External"/><Relationship Id="rId14" Type="http://schemas.openxmlformats.org/officeDocument/2006/relationships/hyperlink" Target="https://vocab.ices.dk/?ref=1606" TargetMode="External"/><Relationship Id="rId15" Type="http://schemas.openxmlformats.org/officeDocument/2006/relationships/hyperlink" Target="https://vocab.ices.dk/?ref=1606" TargetMode="External"/><Relationship Id="rId16" Type="http://schemas.openxmlformats.org/officeDocument/2006/relationships/hyperlink" Target="https://vocab.ices.dk/?ref=1606" TargetMode="External"/><Relationship Id="rId17" Type="http://schemas.openxmlformats.org/officeDocument/2006/relationships/hyperlink" Target="https://vocab.ices.dk/?ref=1606" TargetMode="External"/><Relationship Id="rId18" Type="http://schemas.openxmlformats.org/officeDocument/2006/relationships/hyperlink" Target="https://vocab.ices.dk/?ref=1606" TargetMode="External"/><Relationship Id="rId19" Type="http://schemas.openxmlformats.org/officeDocument/2006/relationships/hyperlink" Target="https://vocab.ices.dk/?ref=1606" TargetMode="External"/><Relationship Id="rId20" Type="http://schemas.openxmlformats.org/officeDocument/2006/relationships/hyperlink" Target="https://vocab.ices.dk/?ref=1606" TargetMode="External"/><Relationship Id="rId21" Type="http://schemas.openxmlformats.org/officeDocument/2006/relationships/hyperlink" Target="https://github.com/edvinf/RCEF_tests" TargetMode="Externa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21</Pages>
  <Words>7540</Words>
  <Characters>40037</Characters>
  <CharactersWithSpaces>46424</CharactersWithSpaces>
  <Paragraphs>1143</Paragraphs>
  <Company>ILVO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2024-06-07T07:34:00Z</dcterms:created>
  <dc:creator>Edvin Fuglebakk</dc:creator>
  <dc:description/>
  <dc:language>nb-NO</dc:language>
  <cp:lastModifiedBy>Edvin Fuglebakk</cp:lastModifiedBy>
  <dcterms:modified xsi:type="dcterms:W3CDTF">2024-06-17T13:00:35Z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