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D6E19" w14:textId="1578DA32" w:rsidR="000B1BE4" w:rsidRDefault="000B1BE4" w:rsidP="000B1BE4">
      <w:pPr>
        <w:jc w:val="center"/>
        <w:rPr>
          <w:b/>
          <w:bCs/>
        </w:rPr>
      </w:pPr>
      <w:r>
        <w:rPr>
          <w:b/>
          <w:bCs/>
        </w:rPr>
        <w:t>WESTERN MEDITERRANDEAN DEMERSAL COMMUNITIES</w:t>
      </w:r>
    </w:p>
    <w:p w14:paraId="5E29DDE8" w14:textId="10C7B795" w:rsidR="000748B8" w:rsidRDefault="000748B8">
      <w:pPr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</w:pPr>
      <w:r w:rsidRPr="000748B8">
        <w:rPr>
          <w:b/>
          <w:bCs/>
        </w:rPr>
        <w:t>Data:</w:t>
      </w:r>
      <w:r>
        <w:t xml:space="preserve"> </w:t>
      </w:r>
      <w:r>
        <w:rPr>
          <w:rFonts w:asciiTheme="majorHAnsi" w:hAnsiTheme="majorHAnsi" w:cstheme="majorHAnsi"/>
        </w:rPr>
        <w:t>A</w:t>
      </w:r>
      <w:r w:rsidRPr="00C00813">
        <w:rPr>
          <w:rFonts w:asciiTheme="majorHAnsi" w:hAnsiTheme="majorHAnsi" w:cstheme="majorHAnsi"/>
        </w:rPr>
        <w:t>nnual data of the Mediterranean International Bottom Trawl surveys (MEDITS) from 1999-2021 for the Western Mediterranean sub-basin</w:t>
      </w:r>
      <w:r>
        <w:rPr>
          <w:rFonts w:asciiTheme="majorHAnsi" w:hAnsiTheme="majorHAnsi" w:cstheme="majorHAnsi"/>
        </w:rPr>
        <w:t xml:space="preserve">. Abundance data </w:t>
      </w:r>
      <w:r w:rsidRPr="00C00813">
        <w:rPr>
          <w:rFonts w:asciiTheme="majorHAnsi" w:hAnsiTheme="majorHAnsi" w:cstheme="majorHAnsi"/>
        </w:rPr>
        <w:t>(individuals · km</w:t>
      </w:r>
      <w:r w:rsidRPr="00C00813">
        <w:rPr>
          <w:rFonts w:asciiTheme="majorHAnsi" w:hAnsiTheme="majorHAnsi" w:cstheme="majorHAnsi"/>
          <w:vertAlign w:val="superscript"/>
        </w:rPr>
        <w:t>-2</w:t>
      </w:r>
      <w:r w:rsidRPr="00C00813">
        <w:rPr>
          <w:rFonts w:asciiTheme="majorHAnsi" w:hAnsiTheme="majorHAnsi" w:cstheme="majorHAnsi"/>
        </w:rPr>
        <w:t>) of main</w:t>
      </w:r>
      <w:r>
        <w:rPr>
          <w:rFonts w:asciiTheme="majorHAnsi" w:hAnsiTheme="majorHAnsi" w:cstheme="majorHAnsi"/>
        </w:rPr>
        <w:t xml:space="preserve"> (occurrence frequency &gt;1%)</w:t>
      </w:r>
      <w:r w:rsidRPr="00C00813">
        <w:rPr>
          <w:rFonts w:asciiTheme="majorHAnsi" w:hAnsiTheme="majorHAnsi" w:cstheme="majorHAnsi"/>
        </w:rPr>
        <w:t xml:space="preserve"> demersal </w:t>
      </w:r>
      <w:r>
        <w:rPr>
          <w:rFonts w:asciiTheme="majorHAnsi" w:hAnsiTheme="majorHAnsi" w:cstheme="majorHAnsi"/>
        </w:rPr>
        <w:t xml:space="preserve">macrofaunal including </w:t>
      </w:r>
      <w:r w:rsidR="00751DFC">
        <w:rPr>
          <w:rFonts w:asciiTheme="majorHAnsi" w:hAnsiTheme="majorHAnsi" w:cstheme="majorHAnsi"/>
        </w:rPr>
        <w:t>146</w:t>
      </w:r>
      <w:r w:rsidRPr="00C00813">
        <w:rPr>
          <w:rFonts w:asciiTheme="majorHAnsi" w:hAnsiTheme="majorHAnsi" w:cstheme="majorHAnsi"/>
        </w:rPr>
        <w:t xml:space="preserve"> fish (</w:t>
      </w:r>
      <w:proofErr w:type="spellStart"/>
      <w:r w:rsidRPr="00C00813">
        <w:rPr>
          <w:rFonts w:asciiTheme="majorHAnsi" w:hAnsiTheme="majorHAnsi" w:cstheme="majorHAnsi"/>
        </w:rPr>
        <w:t>Elasmobranchii</w:t>
      </w:r>
      <w:proofErr w:type="spellEnd"/>
      <w:r w:rsidRPr="00C00813">
        <w:rPr>
          <w:rFonts w:asciiTheme="majorHAnsi" w:hAnsiTheme="majorHAnsi" w:cstheme="majorHAnsi"/>
        </w:rPr>
        <w:t xml:space="preserve"> and Teleostei), </w:t>
      </w:r>
      <w:r w:rsidR="00751DFC">
        <w:rPr>
          <w:rFonts w:asciiTheme="majorHAnsi" w:hAnsiTheme="majorHAnsi" w:cstheme="majorHAnsi"/>
        </w:rPr>
        <w:t xml:space="preserve">24 </w:t>
      </w:r>
      <w:r w:rsidRPr="00C00813">
        <w:rPr>
          <w:rFonts w:asciiTheme="majorHAnsi" w:hAnsiTheme="majorHAnsi" w:cstheme="majorHAnsi"/>
        </w:rPr>
        <w:t xml:space="preserve">cephalopods (Cephalopoda) and </w:t>
      </w:r>
      <w:r w:rsidR="00751DFC">
        <w:rPr>
          <w:rFonts w:asciiTheme="majorHAnsi" w:hAnsiTheme="majorHAnsi" w:cstheme="majorHAnsi"/>
        </w:rPr>
        <w:t xml:space="preserve">21 </w:t>
      </w:r>
      <w:r w:rsidRPr="00C00813">
        <w:rPr>
          <w:rFonts w:asciiTheme="majorHAnsi" w:hAnsiTheme="majorHAnsi" w:cstheme="majorHAnsi"/>
        </w:rPr>
        <w:t xml:space="preserve">decapod crustaceans (Malacostraca) </w:t>
      </w:r>
      <w:r w:rsidR="00751DFC">
        <w:rPr>
          <w:rFonts w:asciiTheme="majorHAnsi" w:hAnsiTheme="majorHAnsi" w:cstheme="majorHAnsi"/>
        </w:rPr>
        <w:t>species</w:t>
      </w:r>
      <w:r>
        <w:rPr>
          <w:rFonts w:asciiTheme="majorHAnsi" w:hAnsiTheme="majorHAnsi" w:cstheme="majorHAnsi"/>
        </w:rPr>
        <w:t>.</w:t>
      </w:r>
      <w:r w:rsidR="00CF6F58">
        <w:rPr>
          <w:rFonts w:asciiTheme="majorHAnsi" w:hAnsiTheme="majorHAnsi" w:cstheme="majorHAnsi"/>
        </w:rPr>
        <w:t xml:space="preserve"> Traits for the 191 encompassed </w:t>
      </w:r>
      <w:r w:rsidR="00CF6F58"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  <w:t>biological (body length), life history (lifespan, larval development), distributional (</w:t>
      </w:r>
      <w:r w:rsidR="00CF6F58">
        <w:rPr>
          <w:rFonts w:asciiTheme="majorHAnsi" w:hAnsiTheme="majorHAnsi" w:cstheme="majorHAnsi"/>
          <w:color w:val="000000"/>
        </w:rPr>
        <w:t>vertical biological zone, depth range</w:t>
      </w:r>
      <w:r w:rsidR="00CF6F58"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  <w:t>) and ecological (temperature preference, trophic level) attributes.</w:t>
      </w:r>
    </w:p>
    <w:p w14:paraId="58DA884C" w14:textId="3E299B48" w:rsidR="00A90355" w:rsidRDefault="00A90355">
      <w:r w:rsidRPr="005712D3">
        <w:rPr>
          <w:rStyle w:val="normaltextrun"/>
          <w:rFonts w:cstheme="minorHAnsi"/>
          <w:b/>
          <w:bCs/>
          <w:color w:val="000000"/>
          <w:shd w:val="clear" w:color="auto" w:fill="FFFFFF"/>
        </w:rPr>
        <w:t>Species names:</w:t>
      </w:r>
      <w:r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  <w:t xml:space="preserve"> species names are denoted as MEDITS code in the </w:t>
      </w:r>
      <w:proofErr w:type="spellStart"/>
      <w:r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  <w:t>dataframe</w:t>
      </w:r>
      <w:proofErr w:type="spellEnd"/>
      <w:r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  <w:t xml:space="preserve"> (e.g., Merluccius </w:t>
      </w:r>
      <w:proofErr w:type="spellStart"/>
      <w:r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  <w:t>merluccius</w:t>
      </w:r>
      <w:proofErr w:type="spellEnd"/>
      <w:r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  <w:t xml:space="preserve"> == MERMER), original </w:t>
      </w:r>
      <w:proofErr w:type="spellStart"/>
      <w:r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  <w:t>latin</w:t>
      </w:r>
      <w:proofErr w:type="spellEnd"/>
      <w:r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  <w:t xml:space="preserve"> names are included in the file ‘</w:t>
      </w:r>
      <w:proofErr w:type="spellStart"/>
      <w:r w:rsidRPr="00A90355"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  <w:t>westernmed_demersal_traits</w:t>
      </w:r>
      <w:proofErr w:type="spellEnd"/>
      <w:r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  <w:t xml:space="preserve"> ‘as </w:t>
      </w:r>
      <w:proofErr w:type="spellStart"/>
      <w:r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  <w:t>rownames</w:t>
      </w:r>
      <w:proofErr w:type="spellEnd"/>
      <w:r>
        <w:rPr>
          <w:rStyle w:val="normaltextrun"/>
          <w:rFonts w:asciiTheme="majorHAnsi" w:hAnsiTheme="majorHAnsi" w:cstheme="majorHAnsi"/>
          <w:color w:val="000000"/>
          <w:shd w:val="clear" w:color="auto" w:fill="FFFFFF"/>
        </w:rPr>
        <w:t xml:space="preserve">. </w:t>
      </w:r>
    </w:p>
    <w:p w14:paraId="5F8FD828" w14:textId="07E65CEE" w:rsidR="00595B5F" w:rsidRPr="00751DFC" w:rsidRDefault="000748B8">
      <w:pPr>
        <w:rPr>
          <w:b/>
          <w:bCs/>
        </w:rPr>
      </w:pPr>
      <w:r w:rsidRPr="00751DFC">
        <w:rPr>
          <w:b/>
          <w:bCs/>
        </w:rPr>
        <w:t>Model set-up</w:t>
      </w:r>
      <w:r w:rsidR="00751DFC">
        <w:rPr>
          <w:b/>
          <w:bCs/>
        </w:rPr>
        <w:t xml:space="preserve">: </w:t>
      </w:r>
      <w:r w:rsidR="00751DFC" w:rsidRPr="00C00813">
        <w:rPr>
          <w:rFonts w:asciiTheme="majorHAnsi" w:hAnsiTheme="majorHAnsi" w:cstheme="majorHAnsi"/>
        </w:rPr>
        <w:t>H</w:t>
      </w:r>
      <w:r w:rsidR="00751DFC">
        <w:rPr>
          <w:rFonts w:asciiTheme="majorHAnsi" w:hAnsiTheme="majorHAnsi" w:cstheme="majorHAnsi"/>
        </w:rPr>
        <w:t xml:space="preserve">ierarchical </w:t>
      </w:r>
      <w:r w:rsidR="00751DFC" w:rsidRPr="00C00813">
        <w:rPr>
          <w:rFonts w:asciiTheme="majorHAnsi" w:hAnsiTheme="majorHAnsi" w:cstheme="majorHAnsi"/>
        </w:rPr>
        <w:t>M</w:t>
      </w:r>
      <w:r w:rsidR="00751DFC">
        <w:rPr>
          <w:rFonts w:asciiTheme="majorHAnsi" w:hAnsiTheme="majorHAnsi" w:cstheme="majorHAnsi"/>
        </w:rPr>
        <w:t xml:space="preserve">odel </w:t>
      </w:r>
      <w:r w:rsidR="00751DFC" w:rsidRPr="00C00813">
        <w:rPr>
          <w:rFonts w:asciiTheme="majorHAnsi" w:hAnsiTheme="majorHAnsi" w:cstheme="majorHAnsi"/>
        </w:rPr>
        <w:t>S</w:t>
      </w:r>
      <w:r w:rsidR="00751DFC">
        <w:rPr>
          <w:rFonts w:asciiTheme="majorHAnsi" w:hAnsiTheme="majorHAnsi" w:cstheme="majorHAnsi"/>
        </w:rPr>
        <w:t xml:space="preserve">pecies </w:t>
      </w:r>
      <w:r w:rsidR="00751DFC" w:rsidRPr="00C00813">
        <w:rPr>
          <w:rFonts w:asciiTheme="majorHAnsi" w:hAnsiTheme="majorHAnsi" w:cstheme="majorHAnsi"/>
        </w:rPr>
        <w:t>C</w:t>
      </w:r>
      <w:r w:rsidR="00751DFC">
        <w:rPr>
          <w:rFonts w:asciiTheme="majorHAnsi" w:hAnsiTheme="majorHAnsi" w:cstheme="majorHAnsi"/>
        </w:rPr>
        <w:t>ommunity (HMSC)</w:t>
      </w:r>
      <w:r w:rsidR="00751DFC" w:rsidRPr="00C00813">
        <w:rPr>
          <w:rFonts w:asciiTheme="majorHAnsi" w:hAnsiTheme="majorHAnsi" w:cstheme="majorHAnsi"/>
        </w:rPr>
        <w:t xml:space="preserve"> was </w:t>
      </w:r>
      <w:r w:rsidR="00751DFC">
        <w:rPr>
          <w:rFonts w:asciiTheme="majorHAnsi" w:hAnsiTheme="majorHAnsi" w:cstheme="majorHAnsi"/>
        </w:rPr>
        <w:t xml:space="preserve">applied </w:t>
      </w:r>
      <w:r w:rsidR="00751DFC" w:rsidRPr="00C00813">
        <w:rPr>
          <w:rFonts w:asciiTheme="majorHAnsi" w:hAnsiTheme="majorHAnsi" w:cstheme="majorHAnsi"/>
        </w:rPr>
        <w:t>using the hurdle approach</w:t>
      </w:r>
      <w:r w:rsidR="00751DFC">
        <w:rPr>
          <w:rFonts w:asciiTheme="majorHAnsi" w:hAnsiTheme="majorHAnsi" w:cstheme="majorHAnsi"/>
        </w:rPr>
        <w:t xml:space="preserve"> (occurrences and abundances modeled independently with </w:t>
      </w:r>
      <w:r w:rsidR="00CF6F58">
        <w:rPr>
          <w:rFonts w:asciiTheme="majorHAnsi" w:hAnsiTheme="majorHAnsi" w:cstheme="majorHAnsi"/>
        </w:rPr>
        <w:t xml:space="preserve">the </w:t>
      </w:r>
      <w:r w:rsidR="00751DFC">
        <w:rPr>
          <w:rFonts w:asciiTheme="majorHAnsi" w:hAnsiTheme="majorHAnsi" w:cstheme="majorHAnsi"/>
        </w:rPr>
        <w:t>same parameterization)</w:t>
      </w:r>
      <w:r w:rsidR="00CF6F58">
        <w:rPr>
          <w:rFonts w:asciiTheme="majorHAnsi" w:hAnsiTheme="majorHAnsi" w:cstheme="majorHAnsi"/>
        </w:rPr>
        <w:t>. Environmental covariates as fixed effects included bottom and surface temperature, bottom and surface salinity, chlorophyl a concentration and a fishing pressure index; while year and location (as centroid of the grid cell) were included as random effects.</w:t>
      </w:r>
    </w:p>
    <w:p w14:paraId="0BCF17A0" w14:textId="43D23A1C" w:rsidR="00CF6F58" w:rsidRPr="00751DFC" w:rsidRDefault="00CF6F58" w:rsidP="00CF6F58">
      <w:pPr>
        <w:rPr>
          <w:b/>
          <w:bCs/>
        </w:rPr>
      </w:pPr>
      <w:r w:rsidRPr="00751DFC">
        <w:rPr>
          <w:b/>
          <w:bCs/>
        </w:rPr>
        <w:t>Spatial resolution</w:t>
      </w:r>
      <w:r>
        <w:rPr>
          <w:b/>
          <w:bCs/>
        </w:rPr>
        <w:t xml:space="preserve">: </w:t>
      </w:r>
      <w:r w:rsidRPr="00CF6F58">
        <w:rPr>
          <w:rFonts w:asciiTheme="majorHAnsi" w:hAnsiTheme="majorHAnsi" w:cstheme="majorHAnsi"/>
        </w:rPr>
        <w:t xml:space="preserve">rectangular grid </w:t>
      </w:r>
      <w:r w:rsidR="00F91EE8" w:rsidRPr="00F91EE8">
        <w:rPr>
          <w:rFonts w:asciiTheme="majorHAnsi" w:hAnsiTheme="majorHAnsi" w:cstheme="majorHAnsi"/>
        </w:rPr>
        <w:t>0.1° × 0.1°</w:t>
      </w:r>
      <w:r w:rsidR="00F91EE8">
        <w:rPr>
          <w:rFonts w:asciiTheme="majorHAnsi" w:hAnsiTheme="majorHAnsi" w:cstheme="majorHAnsi"/>
        </w:rPr>
        <w:t xml:space="preserve"> for all datasets</w:t>
      </w:r>
    </w:p>
    <w:p w14:paraId="74523196" w14:textId="07288C72" w:rsidR="000748B8" w:rsidRDefault="000748B8">
      <w:r w:rsidRPr="00CF6F58">
        <w:rPr>
          <w:b/>
          <w:bCs/>
        </w:rPr>
        <w:t>Future projections</w:t>
      </w:r>
      <w:r w:rsidR="00CF6F58" w:rsidRPr="00CF6F58">
        <w:rPr>
          <w:b/>
          <w:bCs/>
        </w:rPr>
        <w:t>:</w:t>
      </w:r>
      <w:r w:rsidR="00CF6F58">
        <w:t xml:space="preserve"> </w:t>
      </w:r>
      <w:r w:rsidR="00CF6F58" w:rsidRPr="00CF6F58">
        <w:rPr>
          <w:rFonts w:asciiTheme="majorHAnsi" w:hAnsiTheme="majorHAnsi" w:cstheme="majorHAnsi"/>
        </w:rPr>
        <w:t>for the years 2030, 2040 and 2050 using projected environmental conditions information based on climatic variations Copernicus Climate Change Service, using the POLCOMS/NEMO-ERSEM model (Copernicus Climate Change Service, 2020)</w:t>
      </w:r>
      <w:r w:rsidR="00CF6F58">
        <w:rPr>
          <w:rFonts w:asciiTheme="majorHAnsi" w:hAnsiTheme="majorHAnsi" w:cstheme="majorHAnsi"/>
        </w:rPr>
        <w:t>.</w:t>
      </w:r>
    </w:p>
    <w:p w14:paraId="4A858D7D" w14:textId="003B7B44" w:rsidR="00CF6F58" w:rsidRPr="00CF6F58" w:rsidRDefault="00CF6F58">
      <w:pPr>
        <w:rPr>
          <w:rFonts w:asciiTheme="majorHAnsi" w:hAnsiTheme="majorHAnsi" w:cstheme="majorHAnsi"/>
        </w:rPr>
      </w:pPr>
      <w:r>
        <w:rPr>
          <w:b/>
          <w:bCs/>
        </w:rPr>
        <w:t>Multifunctional space for functional indicators</w:t>
      </w:r>
      <w:r w:rsidRPr="00CF6F58">
        <w:rPr>
          <w:b/>
          <w:bCs/>
        </w:rPr>
        <w:t>:</w:t>
      </w:r>
      <w:r>
        <w:rPr>
          <w:b/>
          <w:bCs/>
        </w:rPr>
        <w:t xml:space="preserve"> </w:t>
      </w:r>
      <w:r w:rsidRPr="00CF6F58">
        <w:rPr>
          <w:rFonts w:asciiTheme="majorHAnsi" w:hAnsiTheme="majorHAnsi" w:cstheme="majorHAnsi"/>
        </w:rPr>
        <w:t>Principal Coordinates Analysis (</w:t>
      </w:r>
      <w:proofErr w:type="spellStart"/>
      <w:r w:rsidRPr="00CF6F58">
        <w:rPr>
          <w:rFonts w:asciiTheme="majorHAnsi" w:hAnsiTheme="majorHAnsi" w:cstheme="majorHAnsi"/>
        </w:rPr>
        <w:t>PCoA</w:t>
      </w:r>
      <w:proofErr w:type="spellEnd"/>
      <w:r w:rsidRPr="00CF6F58">
        <w:rPr>
          <w:rFonts w:asciiTheme="majorHAnsi" w:hAnsiTheme="majorHAnsi" w:cstheme="majorHAnsi"/>
        </w:rPr>
        <w:t>) on Gower trait distances retaining the first five principal axes accounting for 100% cumulative variance.</w:t>
      </w:r>
    </w:p>
    <w:p w14:paraId="67B8430C" w14:textId="1E7677E4" w:rsidR="00CF6F58" w:rsidRDefault="00A90355">
      <w:pPr>
        <w:rPr>
          <w:b/>
          <w:bCs/>
        </w:rPr>
      </w:pPr>
      <w:r>
        <w:rPr>
          <w:b/>
          <w:bCs/>
        </w:rPr>
        <w:t xml:space="preserve">Multifunctional indicators: </w:t>
      </w:r>
      <w:proofErr w:type="spellStart"/>
      <w:r w:rsidRPr="00F663A4">
        <w:rPr>
          <w:rFonts w:asciiTheme="majorHAnsi" w:hAnsiTheme="majorHAnsi" w:cstheme="majorHAnsi"/>
        </w:rPr>
        <w:t>predicitions</w:t>
      </w:r>
      <w:proofErr w:type="spellEnd"/>
      <w:r w:rsidRPr="00F663A4">
        <w:rPr>
          <w:rFonts w:asciiTheme="majorHAnsi" w:hAnsiTheme="majorHAnsi" w:cstheme="majorHAnsi"/>
        </w:rPr>
        <w:t xml:space="preserve"> of the HMSC model may eventually predict a very few or no species at all in a given sample (cell grid), which may create some issues when calculating multidimensional functional indicators (</w:t>
      </w:r>
      <w:proofErr w:type="spellStart"/>
      <w:r w:rsidRPr="00F663A4">
        <w:rPr>
          <w:rFonts w:asciiTheme="majorHAnsi" w:hAnsiTheme="majorHAnsi" w:cstheme="majorHAnsi"/>
          <w:i/>
          <w:iCs/>
        </w:rPr>
        <w:t>alpha.</w:t>
      </w:r>
      <w:proofErr w:type="gramStart"/>
      <w:r w:rsidRPr="00F663A4">
        <w:rPr>
          <w:rFonts w:asciiTheme="majorHAnsi" w:hAnsiTheme="majorHAnsi" w:cstheme="majorHAnsi"/>
          <w:i/>
          <w:iCs/>
        </w:rPr>
        <w:t>fd.multidim</w:t>
      </w:r>
      <w:proofErr w:type="spellEnd"/>
      <w:proofErr w:type="gramEnd"/>
      <w:r w:rsidRPr="00F663A4">
        <w:rPr>
          <w:rFonts w:asciiTheme="majorHAnsi" w:hAnsiTheme="majorHAnsi" w:cstheme="majorHAnsi"/>
          <w:i/>
          <w:iCs/>
        </w:rPr>
        <w:t>()</w:t>
      </w:r>
      <w:r w:rsidRPr="00F663A4">
        <w:rPr>
          <w:rFonts w:asciiTheme="majorHAnsi" w:hAnsiTheme="majorHAnsi" w:cstheme="majorHAnsi"/>
        </w:rPr>
        <w:t xml:space="preserve"> function). </w:t>
      </w:r>
      <w:proofErr w:type="spellStart"/>
      <w:r w:rsidRPr="00F663A4">
        <w:rPr>
          <w:rFonts w:asciiTheme="majorHAnsi" w:hAnsiTheme="majorHAnsi" w:cstheme="majorHAnsi"/>
        </w:rPr>
        <w:t>Threrefore</w:t>
      </w:r>
      <w:proofErr w:type="spellEnd"/>
      <w:r w:rsidRPr="00F663A4">
        <w:rPr>
          <w:rFonts w:asciiTheme="majorHAnsi" w:hAnsiTheme="majorHAnsi" w:cstheme="majorHAnsi"/>
        </w:rPr>
        <w:t>, samples with n species &lt; n PCO axes were removed a priori (a total of 8 samples).</w:t>
      </w:r>
    </w:p>
    <w:p w14:paraId="5C7D1076" w14:textId="41E217F5" w:rsidR="00A90355" w:rsidRPr="00BF7292" w:rsidRDefault="00BF7292">
      <w:pPr>
        <w:rPr>
          <w:rFonts w:asciiTheme="majorHAnsi" w:hAnsiTheme="majorHAnsi" w:cstheme="majorHAns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30E88FC" wp14:editId="19BDD957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072640" cy="1234440"/>
            <wp:effectExtent l="0" t="0" r="3810" b="3810"/>
            <wp:wrapTight wrapText="bothSides">
              <wp:wrapPolygon edited="0">
                <wp:start x="0" y="0"/>
                <wp:lineTo x="0" y="21333"/>
                <wp:lineTo x="21441" y="21333"/>
                <wp:lineTo x="21441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0355" w:rsidRPr="00BF7292">
        <w:rPr>
          <w:rFonts w:asciiTheme="majorHAnsi" w:hAnsiTheme="majorHAnsi" w:cstheme="majorHAnsi"/>
          <w:sz w:val="20"/>
          <w:szCs w:val="20"/>
        </w:rPr>
        <w:t>Th</w:t>
      </w:r>
      <w:r w:rsidRPr="00BF7292">
        <w:rPr>
          <w:rFonts w:asciiTheme="majorHAnsi" w:hAnsiTheme="majorHAnsi" w:cstheme="majorHAnsi"/>
          <w:sz w:val="20"/>
          <w:szCs w:val="20"/>
        </w:rPr>
        <w:t>ese</w:t>
      </w:r>
      <w:r w:rsidR="00A90355" w:rsidRPr="00BF7292">
        <w:rPr>
          <w:rFonts w:asciiTheme="majorHAnsi" w:hAnsiTheme="majorHAnsi" w:cstheme="majorHAnsi"/>
          <w:sz w:val="20"/>
          <w:szCs w:val="20"/>
        </w:rPr>
        <w:t xml:space="preserve"> sample id</w:t>
      </w:r>
      <w:r w:rsidRPr="00BF7292">
        <w:rPr>
          <w:rFonts w:asciiTheme="majorHAnsi" w:hAnsiTheme="majorHAnsi" w:cstheme="majorHAnsi"/>
          <w:sz w:val="20"/>
          <w:szCs w:val="20"/>
        </w:rPr>
        <w:t>s</w:t>
      </w:r>
      <w:r w:rsidR="00A90355" w:rsidRPr="00BF7292">
        <w:rPr>
          <w:rFonts w:asciiTheme="majorHAnsi" w:hAnsiTheme="majorHAnsi" w:cstheme="majorHAnsi"/>
          <w:sz w:val="20"/>
          <w:szCs w:val="20"/>
        </w:rPr>
        <w:t xml:space="preserve"> </w:t>
      </w:r>
      <w:r w:rsidRPr="00BF7292">
        <w:rPr>
          <w:rFonts w:asciiTheme="majorHAnsi" w:hAnsiTheme="majorHAnsi" w:cstheme="majorHAnsi"/>
          <w:sz w:val="20"/>
          <w:szCs w:val="20"/>
        </w:rPr>
        <w:t>match</w:t>
      </w:r>
      <w:r w:rsidR="00A90355" w:rsidRPr="00BF7292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A90355" w:rsidRPr="00BF7292">
        <w:rPr>
          <w:rFonts w:asciiTheme="majorHAnsi" w:hAnsiTheme="majorHAnsi" w:cstheme="majorHAnsi"/>
          <w:sz w:val="20"/>
          <w:szCs w:val="20"/>
        </w:rPr>
        <w:t>rownames</w:t>
      </w:r>
      <w:proofErr w:type="spellEnd"/>
      <w:r w:rsidRPr="00BF7292">
        <w:rPr>
          <w:rFonts w:asciiTheme="majorHAnsi" w:hAnsiTheme="majorHAnsi" w:cstheme="majorHAnsi"/>
          <w:sz w:val="20"/>
          <w:szCs w:val="20"/>
        </w:rPr>
        <w:t xml:space="preserve"> of ‘</w:t>
      </w:r>
      <w:proofErr w:type="spellStart"/>
      <w:r w:rsidRPr="00BF7292">
        <w:rPr>
          <w:rFonts w:asciiTheme="majorHAnsi" w:hAnsiTheme="majorHAnsi" w:cstheme="majorHAnsi"/>
          <w:sz w:val="20"/>
          <w:szCs w:val="20"/>
        </w:rPr>
        <w:t>westernmed_demersal_p_occurrence</w:t>
      </w:r>
      <w:proofErr w:type="spellEnd"/>
      <w:r w:rsidRPr="00BF7292">
        <w:rPr>
          <w:rFonts w:asciiTheme="majorHAnsi" w:hAnsiTheme="majorHAnsi" w:cstheme="majorHAnsi"/>
          <w:sz w:val="20"/>
          <w:szCs w:val="20"/>
        </w:rPr>
        <w:t>’ and ‘</w:t>
      </w:r>
      <w:proofErr w:type="spellStart"/>
      <w:r w:rsidRPr="00BF7292">
        <w:rPr>
          <w:rFonts w:asciiTheme="majorHAnsi" w:hAnsiTheme="majorHAnsi" w:cstheme="majorHAnsi"/>
          <w:sz w:val="20"/>
          <w:szCs w:val="20"/>
        </w:rPr>
        <w:t>westernmed_demersal_abundance</w:t>
      </w:r>
      <w:proofErr w:type="spellEnd"/>
      <w:r w:rsidRPr="00BF7292">
        <w:rPr>
          <w:rFonts w:asciiTheme="majorHAnsi" w:hAnsiTheme="majorHAnsi" w:cstheme="majorHAnsi"/>
          <w:sz w:val="20"/>
          <w:szCs w:val="20"/>
        </w:rPr>
        <w:t>’</w:t>
      </w:r>
    </w:p>
    <w:p w14:paraId="64AC98AB" w14:textId="5B2D1443" w:rsidR="00A90355" w:rsidRDefault="00A90355">
      <w:pPr>
        <w:rPr>
          <w:b/>
          <w:bCs/>
        </w:rPr>
      </w:pPr>
    </w:p>
    <w:p w14:paraId="6B6F3F1B" w14:textId="25D4D6D0" w:rsidR="00A90355" w:rsidRDefault="00A90355">
      <w:pPr>
        <w:rPr>
          <w:b/>
          <w:bCs/>
        </w:rPr>
      </w:pPr>
    </w:p>
    <w:p w14:paraId="7141A188" w14:textId="7DDED28B" w:rsidR="00A90355" w:rsidRDefault="00A90355">
      <w:pPr>
        <w:rPr>
          <w:b/>
          <w:bCs/>
        </w:rPr>
      </w:pPr>
    </w:p>
    <w:p w14:paraId="7CD4254F" w14:textId="30506C78" w:rsidR="000748B8" w:rsidRPr="00CF6F58" w:rsidRDefault="000748B8">
      <w:pPr>
        <w:rPr>
          <w:b/>
          <w:bCs/>
        </w:rPr>
      </w:pPr>
      <w:r w:rsidRPr="00CF6F58">
        <w:rPr>
          <w:b/>
          <w:bCs/>
        </w:rPr>
        <w:t>Additional layers:</w:t>
      </w:r>
    </w:p>
    <w:p w14:paraId="185DFBDB" w14:textId="3CFED131" w:rsidR="000748B8" w:rsidRPr="00CF6F58" w:rsidRDefault="000748B8">
      <w:pPr>
        <w:rPr>
          <w:b/>
          <w:bCs/>
        </w:rPr>
      </w:pPr>
      <w:r w:rsidRPr="00CF6F58">
        <w:rPr>
          <w:b/>
          <w:bCs/>
        </w:rPr>
        <w:t>Fishing pressure</w:t>
      </w:r>
      <w:r w:rsidR="00CF6F58">
        <w:rPr>
          <w:b/>
          <w:bCs/>
        </w:rPr>
        <w:t xml:space="preserve">: </w:t>
      </w:r>
      <w:r w:rsidR="000B1BE4">
        <w:rPr>
          <w:rFonts w:asciiTheme="majorHAnsi" w:hAnsiTheme="majorHAnsi" w:cstheme="majorHAnsi"/>
        </w:rPr>
        <w:t>fishing effort of the demersal fisheries reported provided by DCF Fisheries Dependent Information (FDI), spatially disaggregated by means of a fishing footprint derived from Global Fishing Watch.</w:t>
      </w:r>
    </w:p>
    <w:p w14:paraId="0F98E121" w14:textId="77777777" w:rsidR="000748B8" w:rsidRDefault="000748B8"/>
    <w:sectPr w:rsidR="000748B8" w:rsidSect="00A879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3D"/>
    <w:rsid w:val="000748B8"/>
    <w:rsid w:val="0008163D"/>
    <w:rsid w:val="000B1BE4"/>
    <w:rsid w:val="005712D3"/>
    <w:rsid w:val="00595B5F"/>
    <w:rsid w:val="00751DFC"/>
    <w:rsid w:val="00A879C1"/>
    <w:rsid w:val="00A90355"/>
    <w:rsid w:val="00BF7292"/>
    <w:rsid w:val="00CB1881"/>
    <w:rsid w:val="00CF6F58"/>
    <w:rsid w:val="00F663A4"/>
    <w:rsid w:val="00F91EE8"/>
    <w:rsid w:val="00FB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186E8"/>
  <w15:chartTrackingRefBased/>
  <w15:docId w15:val="{F2BCC457-71EC-49ED-8F36-FC4602E40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ormaltextrun">
    <w:name w:val="normaltextrun"/>
    <w:basedOn w:val="Fuentedeprrafopredeter"/>
    <w:qFormat/>
    <w:rsid w:val="00CF6F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F06F11DD1EF0348AF383F7B3D0D632D" ma:contentTypeVersion="18" ma:contentTypeDescription="Opret et nyt dokument." ma:contentTypeScope="" ma:versionID="cb59753978285b1e204ad9b2bab626b1">
  <xsd:schema xmlns:xsd="http://www.w3.org/2001/XMLSchema" xmlns:xs="http://www.w3.org/2001/XMLSchema" xmlns:p="http://schemas.microsoft.com/office/2006/metadata/properties" xmlns:ns2="bdb3d282-7d04-46a0-9e7f-aa6e2c77956f" xmlns:ns3="bc8e8f41-4757-47aa-83cf-202c64cd5313" targetNamespace="http://schemas.microsoft.com/office/2006/metadata/properties" ma:root="true" ma:fieldsID="bb838913bf90583d981ddb1f8d310151" ns2:_="" ns3:_="">
    <xsd:import namespace="bdb3d282-7d04-46a0-9e7f-aa6e2c77956f"/>
    <xsd:import namespace="bc8e8f41-4757-47aa-83cf-202c64cd5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3d282-7d04-46a0-9e7f-aa6e2c7795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ledmærker" ma:readOnly="false" ma:fieldId="{5cf76f15-5ced-4ddc-b409-7134ff3c332f}" ma:taxonomyMulti="true" ma:sspId="b2102423-6c9a-45d0-aa71-0069027da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e8f41-4757-47aa-83cf-202c64cd5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aa46fe1-041e-43b0-8b58-860691be6c27}" ma:internalName="TaxCatchAll" ma:showField="CatchAllData" ma:web="bc8e8f41-4757-47aa-83cf-202c64cd53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8e8f41-4757-47aa-83cf-202c64cd5313" xsi:nil="true"/>
    <lcf76f155ced4ddcb4097134ff3c332f xmlns="bdb3d282-7d04-46a0-9e7f-aa6e2c7795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3B64462-B1EF-4318-9E55-7220CAFCE139}"/>
</file>

<file path=customXml/itemProps2.xml><?xml version="1.0" encoding="utf-8"?>
<ds:datastoreItem xmlns:ds="http://schemas.openxmlformats.org/officeDocument/2006/customXml" ds:itemID="{54A8F95E-EBED-4242-88EA-D7FAABD4DC70}"/>
</file>

<file path=customXml/itemProps3.xml><?xml version="1.0" encoding="utf-8"?>
<ds:datastoreItem xmlns:ds="http://schemas.openxmlformats.org/officeDocument/2006/customXml" ds:itemID="{6366257E-BF57-457D-8533-FBC660A19E6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381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Puerta Ordoñez</dc:creator>
  <cp:keywords/>
  <dc:description/>
  <cp:lastModifiedBy>Patricia Puerta</cp:lastModifiedBy>
  <cp:revision>9</cp:revision>
  <dcterms:created xsi:type="dcterms:W3CDTF">2026-05-20T08:57:00Z</dcterms:created>
  <dcterms:modified xsi:type="dcterms:W3CDTF">2026-05-22T07:25:00Z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0x010100FF06F11DD1EF0348AF383F7B3D0D632D</vt:lpwstr>
  </property>
</Properties>
</file>