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中文报告 Chinese report</w:t>
      </w:r>
    </w:p>
    <w:tbl>
      <w:tblPr>
        <w:tblW w:w="8600" w:type="dxa"/>
        <w:tblBorders>
          <w:top w:val="single" w:sz="8" w:color="667788"/>
          <w:bottom w:val="single" w:sz="8" w:color="667788"/>
          <w:left w:val="single" w:sz="8" w:color="667788"/>
          <w:right w:val="single" w:sz="8" w:color="667788"/>
          <w:insideH w:val="single" w:sz="8" w:color="667788"/>
          <w:insideV w:val="single" w:sz="8" w:color="667788"/>
        </w:tblBorders>
      </w:tblPr>
      <w:tblGrid>
        <w:gridCol w:w="4300"/>
        <w:gridCol w:w="4300"/>
      </w:tblGrid>
      <w:tr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指标</w:t>
            </w:r>
          </w:p>
        </w:tc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数值</w:t>
            </w:r>
          </w:p>
        </w:tc>
      </w:tr>
      <w:tr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收入 Revenue</w:t>
            </w:r>
          </w:p>
        </w:tc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123,456</w:t>
            </w:r>
          </w:p>
        </w:tc>
      </w:tr>
      <w:tr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备注 Note</w:t>
            </w:r>
          </w:p>
        </w:tc>
        <w:tc>
          <w:tcPr>
            <w:tcW w:w="4300" w:type="dxa"/>
          </w:tcPr>
          <w:p>
            <w:pPr>
              <w:spacing w:after="100" w:line="300" w:lineRule="auto"/>
            </w:pPr>
            <w:r>
              <w:rPr>
                <w:rFonts w:ascii="Arial" w:eastAsia="Microsoft YaHei"/>
                <w:sz w:val="24"/>
              </w:rPr>
              <w:t xml:space="preserve">中文与 Latin 字体</w:t>
            </w:r>
          </w:p>
        </w:tc>
      </w:tr>
    </w:tbl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First page end</w:t>
        <w:br w:type="page"/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第二页 Page two</w:t>
      </w:r>
    </w:p>
    <w:p>
      <w:pPr>
        <w:spacing w:after="100" w:line="300" w:lineRule="auto"/>
      </w:pPr>
      <w:r>
        <w:rPr>
          <w:rFonts w:ascii="Arial" w:eastAsia="Microsoft YaHei"/>
          <w:sz w:val="24"/>
        </w:rPr>
        <w:t xml:space="preserve">Explicit source page break.</w:t>
      </w:r>
    </w:p>
    <w:sectPr>
      <w:headerReference w:type="default" r:id="h"/>
      <w:footerReference w:type="default" r:id="f"/>
      <w:pgSz w:w="11906" w:h="16838"/>
      <w:pgMar w:top="1440" w:right="1440" w:bottom="1440" w:left="1440" w:header="500" w:footer="500"/>
    </w:sectPr>
  </w:body>
</w:document>
</file>

<file path=word/footer1.xml><?xml version="1.0" encoding="utf-8"?>
<w:ftr xmlns:w="http://schemas.openxmlformats.org/wordprocessingml/2006/main">
  <w:p>
    <w:pPr>
      <w:spacing w:after="100" w:line="300" w:lineRule="auto"/>
    </w:pPr>
    <w:r>
      <w:rPr>
        <w:rFonts w:ascii="Arial" w:eastAsia="Microsoft YaHei"/>
        <w:sz w:val="24"/>
      </w:rPr>
      <w:t xml:space="preserve">页脚 Footer — not a Word fidelity certification</w:t>
    </w:r>
  </w:p>
</w:ftr>
</file>

<file path=word/header1.xml><?xml version="1.0" encoding="utf-8"?>
<w:hdr xmlns:w="http://schemas.openxmlformats.org/wordprocessingml/2006/main">
  <w:p>
    <w:pPr>
      <w:spacing w:after="100" w:line="300" w:lineRule="auto"/>
    </w:pPr>
    <w:r>
      <w:rPr>
        <w:rFonts w:ascii="Arial" w:eastAsia="Microsoft YaHei"/>
        <w:sz w:val="24"/>
      </w:rPr>
      <w:t xml:space="preserve">页眉 Header — KodaX renderer feasibility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</w:rPr>
    </w:rPrDefault>
  </w:docDefaults>
</w:styles>
</file>

<file path=word/_rels/document.xml.rels><Relationships xmlns="http://schemas.openxmlformats.org/package/2006/relationships"><Relationship Id="s" Type="http://schemas.openxmlformats.org/officeDocument/2006/relationships/styles" Target="styles.xml"/><Relationship Id="h" Type="http://schemas.openxmlformats.org/officeDocument/2006/relationships/header" Target="header1.xml"/><Relationship Id="f" Type="http://schemas.openxmlformats.org/officeDocument/2006/relationships/footer" Target="footer1.xml"/></Relationships>
</file>