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Sites AI event planner</w:t>
      </w:r>
    </w:p>
    <w:p>
      <w:pPr>
        <w:pStyle w:val="Subtitle"/>
      </w:pPr>
      <w:r>
        <w:t>Codex implementation instructions for a school project</w:t>
      </w:r>
    </w:p>
    <w:p>
      <w:r>
        <w:t>Prepared 11 October 2026  •  Version 1.0</w:t>
      </w:r>
    </w:p>
    <w:p>
      <w:r>
        <w:t>Build a small event-planning chatbot as a separate web app, host it on Vercel, and embed its public HTTPS page in Google Sites. This guide assigns the account setup to the student and the implementation to Codex, with clear limits on cost, scope, and publication.</w:t>
      </w:r>
    </w:p>
    <w:p>
      <w:pPr>
        <w:pStyle w:val="Heading2"/>
      </w:pPr>
      <w:r>
        <w:t>The recommended first version</w:t>
      </w:r>
    </w:p>
    <w:p>
      <w:r>
        <w:t>Use Next.js with TypeScript, a server-side chat endpoint, and the OpenAI Responses API. Start with gpt-5.6-luna using reasoning effort none. Keep the model configurable and verify account access before deployment. Use a GitHub repository for the code and Vercel for the frontend and backend. [1–3]</w:t>
      </w:r>
    </w:p>
    <w:p>
      <w:r>
        <w:t>Visitors can brainstorm themes, create agendas, estimate a budget, and generate a checklist. They can revise a plan and copy the result. The chatbot does not book vendors, take payments, send invitations, browse for live prices, or access calendars.</w:t>
      </w:r>
    </w:p>
    <w:p>
      <w:pPr>
        <w:pStyle w:val="Heading2"/>
      </w:pPr>
      <w:r>
        <w:t>How the pieces connect</w:t>
      </w:r>
    </w:p>
    <w:p>
      <w:r>
        <w:t>Google Sites page → embedded Vercel chat page → POST /api/chat on Vercel → OpenAI API → response displayed inside the embed.</w:t>
      </w:r>
    </w:p>
    <w:p>
      <w:r>
        <w:t>GitHub stores the source code. Vercel builds and hosts it. OpenAI processes the chat request. Google Sites provides the surrounding class website. The API key stays on the Vercel server.</w:t>
      </w:r>
    </w:p>
    <w:p>
      <w:pPr>
        <w:pStyle w:val="Heading2"/>
      </w:pPr>
      <w:r>
        <w:t>Ownership at a glance</w:t>
      </w:r>
    </w:p>
    <w:tbl>
      <w:tblPr>
        <w:tblW w:type="auto" w:w="0"/>
        <w:tblLayout w:type="fixed"/>
        <w:tblLook w:firstColumn="1" w:firstRow="1" w:lastColumn="0" w:lastRow="0" w:noHBand="0" w:noVBand="1" w:val="04A0"/>
      </w:tblPr>
      <w:tblGrid>
        <w:gridCol w:w="4464"/>
        <w:gridCol w:w="5472"/>
      </w:tblGrid>
      <w:tr>
        <w:trPr>
          <w:cantSplit/>
          <w:tblHeader/>
        </w:trPr>
        <w:tc>
          <w:tcPr>
            <w:tcW w:type="dxa" w:w="4464"/>
            <w:tcMar>
              <w:top w:w="90" w:type="dxa"/>
              <w:left w:w="90" w:type="dxa"/>
              <w:bottom w:w="90" w:type="dxa"/>
              <w:right w:w="90" w:type="dxa"/>
            </w:tcMar>
            <w:shd w:fill="EAEAEA"/>
          </w:tcPr>
          <w:p>
            <w:pPr>
              <w:spacing w:after="60"/>
            </w:pPr>
            <w:r>
              <w:rPr>
                <w:b/>
                <w:sz w:val="20"/>
              </w:rPr>
              <w:t>Student owns</w:t>
            </w:r>
          </w:p>
        </w:tc>
        <w:tc>
          <w:tcPr>
            <w:tcW w:type="dxa" w:w="5472"/>
            <w:tcMar>
              <w:top w:w="90" w:type="dxa"/>
              <w:left w:w="90" w:type="dxa"/>
              <w:bottom w:w="90" w:type="dxa"/>
              <w:right w:w="90" w:type="dxa"/>
            </w:tcMar>
            <w:shd w:fill="EAEAEA"/>
          </w:tcPr>
          <w:p>
            <w:pPr>
              <w:spacing w:after="60"/>
            </w:pPr>
            <w:r>
              <w:rPr>
                <w:b/>
                <w:sz w:val="20"/>
              </w:rPr>
              <w:t>Codex implements</w:t>
            </w:r>
          </w:p>
        </w:tc>
      </w:tr>
      <w:tr>
        <w:trPr>
          <w:cantSplit/>
        </w:trPr>
        <w:tc>
          <w:tcPr>
            <w:tcW w:type="dxa" w:w="4464"/>
            <w:tcMar>
              <w:top w:w="90" w:type="dxa"/>
              <w:left w:w="90" w:type="dxa"/>
              <w:bottom w:w="90" w:type="dxa"/>
              <w:right w:w="90" w:type="dxa"/>
            </w:tcMar>
          </w:tcPr>
          <w:p>
            <w:pPr>
              <w:spacing w:after="60"/>
            </w:pPr>
            <w:r>
              <w:rPr>
                <w:b w:val="0"/>
                <w:sz w:val="20"/>
              </w:rPr>
              <w:t>Accounts, sign-ins, billing and access approvals</w:t>
            </w:r>
          </w:p>
        </w:tc>
        <w:tc>
          <w:tcPr>
            <w:tcW w:type="dxa" w:w="5472"/>
            <w:tcMar>
              <w:top w:w="90" w:type="dxa"/>
              <w:left w:w="90" w:type="dxa"/>
              <w:bottom w:w="90" w:type="dxa"/>
              <w:right w:w="90" w:type="dxa"/>
            </w:tcMar>
          </w:tcPr>
          <w:p>
            <w:pPr>
              <w:spacing w:after="60"/>
            </w:pPr>
            <w:r>
              <w:rPr>
                <w:b w:val="0"/>
                <w:sz w:val="20"/>
              </w:rPr>
              <w:t>App code, configuration, tests and setup instructions</w:t>
            </w:r>
          </w:p>
        </w:tc>
      </w:tr>
      <w:tr>
        <w:trPr>
          <w:cantSplit/>
        </w:trPr>
        <w:tc>
          <w:tcPr>
            <w:tcW w:type="dxa" w:w="4464"/>
            <w:tcMar>
              <w:top w:w="90" w:type="dxa"/>
              <w:left w:w="90" w:type="dxa"/>
              <w:bottom w:w="90" w:type="dxa"/>
              <w:right w:w="90" w:type="dxa"/>
            </w:tcMar>
          </w:tcPr>
          <w:p>
            <w:pPr>
              <w:spacing w:after="60"/>
            </w:pPr>
            <w:r>
              <w:rPr>
                <w:b w:val="0"/>
                <w:sz w:val="20"/>
              </w:rPr>
              <w:t>GitHub and Vercel connection approvals</w:t>
            </w:r>
          </w:p>
        </w:tc>
        <w:tc>
          <w:tcPr>
            <w:tcW w:type="dxa" w:w="5472"/>
            <w:tcMar>
              <w:top w:w="90" w:type="dxa"/>
              <w:left w:w="90" w:type="dxa"/>
              <w:bottom w:w="90" w:type="dxa"/>
              <w:right w:w="90" w:type="dxa"/>
            </w:tcMar>
          </w:tcPr>
          <w:p>
            <w:pPr>
              <w:spacing w:after="60"/>
            </w:pPr>
            <w:r>
              <w:rPr>
                <w:b w:val="0"/>
                <w:sz w:val="20"/>
              </w:rPr>
              <w:t>Repository contents and deployment troubleshooting</w:t>
            </w:r>
          </w:p>
        </w:tc>
      </w:tr>
      <w:tr>
        <w:trPr>
          <w:cantSplit/>
        </w:trPr>
        <w:tc>
          <w:tcPr>
            <w:tcW w:type="dxa" w:w="4464"/>
            <w:tcMar>
              <w:top w:w="90" w:type="dxa"/>
              <w:left w:w="90" w:type="dxa"/>
              <w:bottom w:w="90" w:type="dxa"/>
              <w:right w:w="90" w:type="dxa"/>
            </w:tcMar>
          </w:tcPr>
          <w:p>
            <w:pPr>
              <w:spacing w:after="60"/>
            </w:pPr>
            <w:r>
              <w:rPr>
                <w:b w:val="0"/>
                <w:sz w:val="20"/>
              </w:rPr>
              <w:t>Entering secrets privately</w:t>
            </w:r>
          </w:p>
        </w:tc>
        <w:tc>
          <w:tcPr>
            <w:tcW w:type="dxa" w:w="5472"/>
            <w:tcMar>
              <w:top w:w="90" w:type="dxa"/>
              <w:left w:w="90" w:type="dxa"/>
              <w:bottom w:w="90" w:type="dxa"/>
              <w:right w:w="90" w:type="dxa"/>
            </w:tcMar>
          </w:tcPr>
          <w:p>
            <w:pPr>
              <w:spacing w:after="60"/>
            </w:pPr>
            <w:r>
              <w:rPr>
                <w:b w:val="0"/>
                <w:sz w:val="20"/>
              </w:rPr>
              <w:t>Server-only secret use and placeholder example file</w:t>
            </w:r>
          </w:p>
        </w:tc>
      </w:tr>
      <w:tr>
        <w:trPr>
          <w:cantSplit/>
        </w:trPr>
        <w:tc>
          <w:tcPr>
            <w:tcW w:type="dxa" w:w="4464"/>
            <w:tcMar>
              <w:top w:w="90" w:type="dxa"/>
              <w:left w:w="90" w:type="dxa"/>
              <w:bottom w:w="90" w:type="dxa"/>
              <w:right w:w="90" w:type="dxa"/>
            </w:tcMar>
          </w:tcPr>
          <w:p>
            <w:pPr>
              <w:spacing w:after="60"/>
            </w:pPr>
            <w:r>
              <w:rPr>
                <w:b w:val="0"/>
                <w:sz w:val="20"/>
              </w:rPr>
              <w:t>Class content and final publication</w:t>
            </w:r>
          </w:p>
        </w:tc>
        <w:tc>
          <w:tcPr>
            <w:tcW w:type="dxa" w:w="5472"/>
            <w:tcMar>
              <w:top w:w="90" w:type="dxa"/>
              <w:left w:w="90" w:type="dxa"/>
              <w:bottom w:w="90" w:type="dxa"/>
              <w:right w:w="90" w:type="dxa"/>
            </w:tcMar>
          </w:tcPr>
          <w:p>
            <w:pPr>
              <w:spacing w:after="60"/>
            </w:pPr>
            <w:r>
              <w:rPr>
                <w:b w:val="0"/>
                <w:sz w:val="20"/>
              </w:rPr>
              <w:t>Planner behavior, accessible interface and embed support</w:t>
            </w:r>
          </w:p>
        </w:tc>
      </w:tr>
      <w:tr>
        <w:trPr>
          <w:cantSplit/>
        </w:trPr>
        <w:tc>
          <w:tcPr>
            <w:tcW w:type="dxa" w:w="4464"/>
            <w:tcMar>
              <w:top w:w="90" w:type="dxa"/>
              <w:left w:w="90" w:type="dxa"/>
              <w:bottom w:w="90" w:type="dxa"/>
              <w:right w:w="90" w:type="dxa"/>
            </w:tcMar>
          </w:tcPr>
          <w:p>
            <w:pPr>
              <w:spacing w:after="60"/>
            </w:pPr>
            <w:r>
              <w:rPr>
                <w:b w:val="0"/>
                <w:sz w:val="20"/>
              </w:rPr>
              <w:t>Monitoring spend and ending the demo</w:t>
            </w:r>
          </w:p>
        </w:tc>
        <w:tc>
          <w:tcPr>
            <w:tcW w:type="dxa" w:w="5472"/>
            <w:tcMar>
              <w:top w:w="90" w:type="dxa"/>
              <w:left w:w="90" w:type="dxa"/>
              <w:bottom w:w="90" w:type="dxa"/>
              <w:right w:w="90" w:type="dxa"/>
            </w:tcMar>
          </w:tcPr>
          <w:p>
            <w:pPr>
              <w:spacing w:after="60"/>
            </w:pPr>
            <w:r>
              <w:rPr>
                <w:b w:val="0"/>
                <w:sz w:val="20"/>
              </w:rPr>
              <w:t>Limits, disable switch and operational instructions</w:t>
            </w:r>
          </w:p>
        </w:tc>
      </w:tr>
    </w:tbl>
    <w:p>
      <w:pPr>
        <w:pStyle w:val="Heading2"/>
      </w:pPr>
      <w:r>
        <w:t>Important Google Sites constraint</w:t>
      </w:r>
    </w:p>
    <w:p>
      <w:r>
        <w:t>The chatbot lives inside a rectangular iframe. A floating launcher can stay fixed inside that rectangle; it cannot float over the entire Google Sites page or escape its boundaries. Use an always-open panel for this project, plus an Open chatbot link as a fallback. [4, 8]</w:t>
      </w:r>
    </w:p>
    <w:p>
      <w:r>
        <w:br w:type="page"/>
      </w:r>
    </w:p>
    <w:p>
      <w:pPr>
        <w:pStyle w:val="Heading1"/>
      </w:pPr>
      <w:r>
        <w:t>1 Human setup checklist</w:t>
      </w:r>
    </w:p>
    <w:p>
      <w:r>
        <w:t>Complete these items yourself. Share repository names, URLs, approved content, and confirmation that secrets are configured with Codex. Do not paste secret values into the conversation.</w:t>
      </w:r>
    </w:p>
    <w:p>
      <w:pPr>
        <w:pStyle w:val="Heading2"/>
      </w:pPr>
      <w:r>
        <w:t>Project choices</w:t>
      </w:r>
    </w:p>
    <w:p>
      <w:r>
        <w:t>[  ] Choose a project name, display title and two brand colors. Default name: Event Planner Assistant.</w:t>
      </w:r>
    </w:p>
    <w:p>
      <w:r>
        <w:t>[  ] Provide the published Google Sites URL, any custom domain, the assignment rubric and the demonstration date.</w:t>
      </w:r>
    </w:p>
    <w:p>
      <w:r>
        <w:t>[  ] Write a short approved facts file: event types, location or campus, services, contact link and any known constraints. Label fictional details clearly.</w:t>
      </w:r>
    </w:p>
    <w:p>
      <w:r>
        <w:t>[  ] Choose a USD 5 monthly API budget as a starting point and decide who owns billing. Use fictional event data for classroom testing.</w:t>
      </w:r>
    </w:p>
    <w:p>
      <w:pPr>
        <w:pStyle w:val="Heading2"/>
      </w:pPr>
      <w:r>
        <w:t>GitHub and the Codex workspace</w:t>
      </w:r>
    </w:p>
    <w:p>
      <w:r>
        <w:t>[  ] Create or sign in to GitHub. Create a private repository named event-planner-chatbot under your own account. A public repository is optional, not required for the embed.</w:t>
      </w:r>
    </w:p>
    <w:p>
      <w:r>
        <w:t>[  ] Clone the repository to your computer using GitHub Desktop or Git, then open that local folder as a Codex project. Sign in to GitHub when the Git client requests it.</w:t>
      </w:r>
    </w:p>
    <w:p>
      <w:r>
        <w:t>[  ] Give Codex this document and the prompt in sections 7 and 8. Let Codex create the app in the repository. If you use a hosted Codex environment instead, explicitly authorize that repository through its connection flow.</w:t>
      </w:r>
    </w:p>
    <w:p>
      <w:r>
        <w:t>[  ] Keep the GitHub connection separate from Vercel. Access to one service does not automatically authorize the other.</w:t>
      </w:r>
    </w:p>
    <w:p>
      <w:pPr>
        <w:pStyle w:val="Heading2"/>
      </w:pPr>
      <w:r>
        <w:t>OpenAI account and secrets</w:t>
      </w:r>
    </w:p>
    <w:p>
      <w:r>
        <w:t>[  ] Open the OpenAI API platform, create a dedicated project, and enable API billing as required by the account. Do not assume a ChatGPT subscription supplies API credit.</w:t>
      </w:r>
    </w:p>
    <w:p>
      <w:r>
        <w:t>[  ] In project Limits, set a monthly spend limit of USD 5 and enable Enforce a hard limit where available. Add alerts before that level, for example USD 2 and USD 4. Alerts alone do not stop traffic; enforcement can lag slightly. [2]</w:t>
      </w:r>
    </w:p>
    <w:p>
      <w:r>
        <w:t>[  ] Create a project-scoped API key with only the permissions the app needs. Keep it in a password manager and enter it directly into .env.local for local testing.</w:t>
      </w:r>
    </w:p>
    <w:p>
      <w:r>
        <w:t>[  ] Put the same key, or a separate deployment key in the same project, into Vercel environment variables. Never enter it in Google Sites, a source file, GitHub issues, screenshots, or a NEXT_PUBLIC_ variable. [3, 6]</w:t>
      </w:r>
    </w:p>
    <w:p>
      <w:r>
        <w:t>If the key is exposed: revoke it immediately, create a replacement, update local and Vercel settings, redeploy, and review usage. Deleting it from the latest commit does not remove it from Git history.</w:t>
      </w:r>
    </w:p>
    <w:p>
      <w:r>
        <w:br w:type="page"/>
      </w:r>
    </w:p>
    <w:p>
      <w:pPr>
        <w:pStyle w:val="Heading1"/>
      </w:pPr>
      <w:r>
        <w:t>2 Connect deploy and embed</w:t>
      </w:r>
    </w:p>
    <w:p>
      <w:pPr>
        <w:pStyle w:val="Heading2"/>
      </w:pPr>
      <w:r>
        <w:t>Connect GitHub to Vercel</w:t>
      </w:r>
    </w:p>
    <w:p>
      <w:r>
        <w:t>1. After Codex finishes a local build and tests, review the changes and have it commit and push the approved code to GitHub. Keep secrets out of every commit.</w:t>
      </w:r>
    </w:p>
    <w:p>
      <w:r>
        <w:t>2. Sign in to Vercel with GitHub. Choose Add New → Project, authorize the Vercel GitHub integration for this repository, and import event-planner-chatbot. For an organization repository, an administrator may need to grant access. [5]</w:t>
      </w:r>
    </w:p>
    <w:p>
      <w:r>
        <w:t>3. Confirm the detected Next.js framework, repository root directory, and compatible Node version recorded by Codex. Keep framework build defaults unless Codex documents a reason to change them.</w:t>
      </w:r>
    </w:p>
    <w:p>
      <w:r>
        <w:t>4. Add the server environment variables listed in section 3. Start with CHAT_ENABLED=false. Use a separate preview key or mock mode for previews; do not expose paid production access to untrusted branches. Vercel environment changes apply to new deployments, so redeploy after changes. [6]</w:t>
      </w:r>
    </w:p>
    <w:p>
      <w:r>
        <w:t>5. Deploy. Confirm the public production domain, such as https://YOUR-PROJECT.vercel.app. Use that stable domain for the embed. Vercel can create previews for branch changes and production builds from the production branch, normally main. [5]</w:t>
      </w:r>
    </w:p>
    <w:p>
      <w:r>
        <w:t>6. Configure the durable quota store, confirm the API spend limit, then set CHAT_ENABLED=true and DEMO_MODE=false and redeploy. Test with a small number of real requests. Keep preview protection enabled, but ensure the chosen production domain works for signed-out visitors. Never put a Vercel bypass secret into an embed URL. [7]</w:t>
      </w:r>
    </w:p>
    <w:p>
      <w:pPr>
        <w:pStyle w:val="Heading2"/>
      </w:pPr>
      <w:r>
        <w:t>Embed it in Google Sites</w:t>
      </w:r>
    </w:p>
    <w:p>
      <w:r>
        <w:t>7. Open the Google Sites editor. Select Insert → Embed → By URL, paste the stable production URL ending in /embed, and insert it. Alternatively, use a full-page embed. [4]</w:t>
      </w:r>
    </w:p>
    <w:p>
      <w:r>
        <w:t>8. Make the panel as wide as the content area and approximately 650–750 pixels tall. Preview desktop and mobile layouts. Add a normal Google Sites button linking to the standalone chatbot as a fallback.</w:t>
      </w:r>
    </w:p>
    <w:p>
      <w:r>
        <w:t>9. Publish or republish Google Sites. Test the actual published page in a signed-out browser, on a phone, and on the school network. An editor preview alone does not establish success.</w:t>
      </w:r>
    </w:p>
    <w:p>
      <w:pPr>
        <w:pStyle w:val="Heading2"/>
      </w:pPr>
      <w:r>
        <w:t>Optional embed code</w:t>
      </w:r>
    </w:p>
    <w:p>
      <w:r>
        <w:t>Use this only if the URL embed is unsuitable. Replace the example domain. Google Sites still controls the outer embed dimensions.</w:t>
      </w:r>
    </w:p>
    <w:p>
      <w:r>
        <w:rPr>
          <w:rFonts w:ascii="Consolas" w:hAnsi="Consolas"/>
          <w:sz w:val="18"/>
        </w:rPr>
        <w:t>&lt;iframe src="https://YOUR-PROJECT.vercel.app/embed"</w:t>
        <w:br/>
        <w:t xml:space="preserve">  title="Event Planner Assistant" width="100%" height="700"</w:t>
        <w:br/>
        <w:t xml:space="preserve">  style="border:0" loading="lazy"&gt;&lt;/iframe&gt;</w:t>
      </w:r>
    </w:p>
    <w:p>
      <w:r>
        <w:t>Vercel Hobby may fit a personal noncommercial school demo, subject to its current terms and limits. Verify eligibility and any quota-store charges before accepting upgrades. Hosting charges are separate from OpenAI usage. [9]</w:t>
      </w:r>
    </w:p>
    <w:p>
      <w:r>
        <w:br w:type="page"/>
      </w:r>
    </w:p>
    <w:p>
      <w:pPr>
        <w:pStyle w:val="Heading1"/>
      </w:pPr>
      <w:r>
        <w:t>3 Technical specification for Codex</w:t>
      </w:r>
    </w:p>
    <w:p>
      <w:pPr>
        <w:pStyle w:val="Heading2"/>
      </w:pPr>
      <w:r>
        <w:t>Application and interface</w:t>
      </w:r>
    </w:p>
    <w:p>
      <w:pPr>
        <w:pStyle w:val="ListBullet"/>
      </w:pPr>
      <w:r>
        <w:t>Use a maintained stable Next.js release with App Router, TypeScript, the official OpenAI JavaScript SDK, and a lockfile. Record the tested Node and package versions. Use a Node server route, not a static export.</w:t>
      </w:r>
    </w:p>
    <w:p>
      <w:pPr>
        <w:pStyle w:val="ListBullet"/>
      </w:pPr>
      <w:r>
        <w:t>Provide / for standalone use and /embed for the compact chat view. Include greeting, three starter prompts, transcript, text input, Send, Clear chat, Copy plan and Open chatbot link.</w:t>
      </w:r>
    </w:p>
    <w:p>
      <w:pPr>
        <w:pStyle w:val="ListBullet"/>
      </w:pPr>
      <w:r>
        <w:t>Support keyboard navigation, visible focus, associated input labels, sufficient contrast, loading announcements and readable error messages. Enter sends; Shift+Enter adds a line. Prevent duplicate submissions.</w:t>
      </w:r>
    </w:p>
    <w:p>
      <w:pPr>
        <w:pStyle w:val="ListBullet"/>
      </w:pPr>
      <w:r>
        <w:t>Use memory-only conversation state by default. Do not require third-party cookies or local storage. Clear chat resets the plan and transcript. Provide a selectable-text fallback if clipboard access fails.</w:t>
      </w:r>
    </w:p>
    <w:p>
      <w:pPr>
        <w:pStyle w:val="Heading2"/>
      </w:pPr>
      <w:r>
        <w:t>Server endpoint and model behavior</w:t>
      </w:r>
    </w:p>
    <w:p>
      <w:r>
        <w:t>POST /api/chat accepts JSON with message and history. Validate a nonempty message of at most 2,000 characters, no more than 12 prior user/assistant messages, and a body of at most 32 KB. Reject unknown roles and fields. Enforce a 6,000-token total input ceiling including server instructions and approved facts; trim oldest history with a visible context-reset notice or reject oversized requests.</w:t>
      </w:r>
    </w:p>
    <w:p>
      <w:r>
        <w:t>The server supplies instructions and approved project facts on every request. The client cannot set the model, token cap, tools, or system instructions. Call Responses with store:false, reasoning:{effort:"none"}, max_output_tokens:800, and no tools. Use response.output_text and handle failed, incomplete or empty responses explicitly. [1, 10]</w:t>
      </w:r>
    </w:p>
    <w:p>
      <w:r>
        <w:t>Ask for missing event type, guest count, date or duration, location, budget and currency, with at most two questions at a time. Produce a concise plan with assumptions, schedule, estimated cost breakdown and next steps. Recalculate budget totals in code when presenting numeric estimates. Never invent confirmed availability, bookings, current vendor quotes or school policy.</w:t>
      </w:r>
    </w:p>
    <w:p>
      <w:pPr>
        <w:pStyle w:val="Heading2"/>
      </w:pPr>
      <w:r>
        <w:t>Server configuration</w:t>
      </w:r>
    </w:p>
    <w:tbl>
      <w:tblPr>
        <w:tblW w:type="auto" w:w="0"/>
        <w:tblLayout w:type="fixed"/>
        <w:tblLook w:firstColumn="1" w:firstRow="1" w:lastColumn="0" w:lastRow="0" w:noHBand="0" w:noVBand="1" w:val="04A0"/>
      </w:tblPr>
      <w:tblGrid>
        <w:gridCol w:w="3096"/>
        <w:gridCol w:w="6840"/>
      </w:tblGrid>
      <w:tr>
        <w:trPr>
          <w:cantSplit/>
          <w:tblHeader/>
        </w:trPr>
        <w:tc>
          <w:tcPr>
            <w:tcW w:type="dxa" w:w="3096"/>
            <w:tcMar>
              <w:top w:w="90" w:type="dxa"/>
              <w:left w:w="90" w:type="dxa"/>
              <w:bottom w:w="90" w:type="dxa"/>
              <w:right w:w="90" w:type="dxa"/>
            </w:tcMar>
            <w:shd w:fill="EAEAEA"/>
          </w:tcPr>
          <w:p>
            <w:pPr>
              <w:spacing w:after="60"/>
            </w:pPr>
            <w:r>
              <w:rPr>
                <w:b/>
                <w:sz w:val="20"/>
              </w:rPr>
              <w:t>Variable</w:t>
            </w:r>
          </w:p>
        </w:tc>
        <w:tc>
          <w:tcPr>
            <w:tcW w:type="dxa" w:w="6840"/>
            <w:tcMar>
              <w:top w:w="90" w:type="dxa"/>
              <w:left w:w="90" w:type="dxa"/>
              <w:bottom w:w="90" w:type="dxa"/>
              <w:right w:w="90" w:type="dxa"/>
            </w:tcMar>
            <w:shd w:fill="EAEAEA"/>
          </w:tcPr>
          <w:p>
            <w:pPr>
              <w:spacing w:after="60"/>
            </w:pPr>
            <w:r>
              <w:rPr>
                <w:b/>
                <w:sz w:val="20"/>
              </w:rPr>
              <w:t>Purpose and default</w:t>
            </w:r>
          </w:p>
        </w:tc>
      </w:tr>
      <w:tr>
        <w:trPr>
          <w:cantSplit/>
        </w:trPr>
        <w:tc>
          <w:tcPr>
            <w:tcW w:type="dxa" w:w="3096"/>
            <w:tcMar>
              <w:top w:w="90" w:type="dxa"/>
              <w:left w:w="90" w:type="dxa"/>
              <w:bottom w:w="90" w:type="dxa"/>
              <w:right w:w="90" w:type="dxa"/>
            </w:tcMar>
          </w:tcPr>
          <w:p>
            <w:pPr>
              <w:spacing w:after="60"/>
            </w:pPr>
            <w:r>
              <w:rPr>
                <w:b w:val="0"/>
                <w:sz w:val="20"/>
              </w:rPr>
              <w:t>OPENAI_API_KEY</w:t>
            </w:r>
          </w:p>
        </w:tc>
        <w:tc>
          <w:tcPr>
            <w:tcW w:type="dxa" w:w="6840"/>
            <w:tcMar>
              <w:top w:w="90" w:type="dxa"/>
              <w:left w:w="90" w:type="dxa"/>
              <w:bottom w:w="90" w:type="dxa"/>
              <w:right w:w="90" w:type="dxa"/>
            </w:tcMar>
          </w:tcPr>
          <w:p>
            <w:pPr>
              <w:spacing w:after="60"/>
            </w:pPr>
            <w:r>
              <w:rPr>
                <w:b w:val="0"/>
                <w:sz w:val="20"/>
              </w:rPr>
              <w:t>Secret; required for live mode</w:t>
            </w:r>
          </w:p>
        </w:tc>
      </w:tr>
      <w:tr>
        <w:trPr>
          <w:cantSplit/>
        </w:trPr>
        <w:tc>
          <w:tcPr>
            <w:tcW w:type="dxa" w:w="3096"/>
            <w:tcMar>
              <w:top w:w="90" w:type="dxa"/>
              <w:left w:w="90" w:type="dxa"/>
              <w:bottom w:w="90" w:type="dxa"/>
              <w:right w:w="90" w:type="dxa"/>
            </w:tcMar>
          </w:tcPr>
          <w:p>
            <w:pPr>
              <w:spacing w:after="60"/>
            </w:pPr>
            <w:r>
              <w:rPr>
                <w:b w:val="0"/>
                <w:sz w:val="20"/>
              </w:rPr>
              <w:t>OPENAI_MODEL</w:t>
            </w:r>
          </w:p>
        </w:tc>
        <w:tc>
          <w:tcPr>
            <w:tcW w:type="dxa" w:w="6840"/>
            <w:tcMar>
              <w:top w:w="90" w:type="dxa"/>
              <w:left w:w="90" w:type="dxa"/>
              <w:bottom w:w="90" w:type="dxa"/>
              <w:right w:w="90" w:type="dxa"/>
            </w:tcMar>
          </w:tcPr>
          <w:p>
            <w:pPr>
              <w:spacing w:after="60"/>
            </w:pPr>
            <w:r>
              <w:rPr>
                <w:b w:val="0"/>
                <w:sz w:val="20"/>
              </w:rPr>
              <w:t>gpt-5.6-luna; server controlled</w:t>
            </w:r>
          </w:p>
        </w:tc>
      </w:tr>
      <w:tr>
        <w:trPr>
          <w:cantSplit/>
        </w:trPr>
        <w:tc>
          <w:tcPr>
            <w:tcW w:type="dxa" w:w="3096"/>
            <w:tcMar>
              <w:top w:w="90" w:type="dxa"/>
              <w:left w:w="90" w:type="dxa"/>
              <w:bottom w:w="90" w:type="dxa"/>
              <w:right w:w="90" w:type="dxa"/>
            </w:tcMar>
          </w:tcPr>
          <w:p>
            <w:pPr>
              <w:spacing w:after="60"/>
            </w:pPr>
            <w:r>
              <w:rPr>
                <w:b w:val="0"/>
                <w:sz w:val="20"/>
              </w:rPr>
              <w:t>CHAT_ENABLED</w:t>
            </w:r>
          </w:p>
        </w:tc>
        <w:tc>
          <w:tcPr>
            <w:tcW w:type="dxa" w:w="6840"/>
            <w:tcMar>
              <w:top w:w="90" w:type="dxa"/>
              <w:left w:w="90" w:type="dxa"/>
              <w:bottom w:w="90" w:type="dxa"/>
              <w:right w:w="90" w:type="dxa"/>
            </w:tcMar>
          </w:tcPr>
          <w:p>
            <w:pPr>
              <w:spacing w:after="60"/>
            </w:pPr>
            <w:r>
              <w:rPr>
                <w:b w:val="0"/>
                <w:sz w:val="20"/>
              </w:rPr>
              <w:t>false until launch checks pass</w:t>
            </w:r>
          </w:p>
        </w:tc>
      </w:tr>
      <w:tr>
        <w:trPr>
          <w:cantSplit/>
        </w:trPr>
        <w:tc>
          <w:tcPr>
            <w:tcW w:type="dxa" w:w="3096"/>
            <w:tcMar>
              <w:top w:w="90" w:type="dxa"/>
              <w:left w:w="90" w:type="dxa"/>
              <w:bottom w:w="90" w:type="dxa"/>
              <w:right w:w="90" w:type="dxa"/>
            </w:tcMar>
          </w:tcPr>
          <w:p>
            <w:pPr>
              <w:spacing w:after="60"/>
            </w:pPr>
            <w:r>
              <w:rPr>
                <w:b w:val="0"/>
                <w:sz w:val="20"/>
              </w:rPr>
              <w:t>DEMO_MODE</w:t>
            </w:r>
          </w:p>
        </w:tc>
        <w:tc>
          <w:tcPr>
            <w:tcW w:type="dxa" w:w="6840"/>
            <w:tcMar>
              <w:top w:w="90" w:type="dxa"/>
              <w:left w:w="90" w:type="dxa"/>
              <w:bottom w:w="90" w:type="dxa"/>
              <w:right w:w="90" w:type="dxa"/>
            </w:tcMar>
          </w:tcPr>
          <w:p>
            <w:pPr>
              <w:spacing w:after="60"/>
            </w:pPr>
            <w:r>
              <w:rPr>
                <w:b w:val="0"/>
                <w:sz w:val="20"/>
              </w:rPr>
              <w:t>true for clearly labeled offline mock responses</w:t>
            </w:r>
          </w:p>
        </w:tc>
      </w:tr>
      <w:tr>
        <w:trPr>
          <w:cantSplit/>
        </w:trPr>
        <w:tc>
          <w:tcPr>
            <w:tcW w:type="dxa" w:w="3096"/>
            <w:tcMar>
              <w:top w:w="90" w:type="dxa"/>
              <w:left w:w="90" w:type="dxa"/>
              <w:bottom w:w="90" w:type="dxa"/>
              <w:right w:w="90" w:type="dxa"/>
            </w:tcMar>
          </w:tcPr>
          <w:p>
            <w:pPr>
              <w:spacing w:after="60"/>
            </w:pPr>
            <w:r>
              <w:rPr>
                <w:b w:val="0"/>
                <w:sz w:val="20"/>
              </w:rPr>
              <w:t>DAILY_REQUEST_LIMIT</w:t>
            </w:r>
          </w:p>
        </w:tc>
        <w:tc>
          <w:tcPr>
            <w:tcW w:type="dxa" w:w="6840"/>
            <w:tcMar>
              <w:top w:w="90" w:type="dxa"/>
              <w:left w:w="90" w:type="dxa"/>
              <w:bottom w:w="90" w:type="dxa"/>
              <w:right w:w="90" w:type="dxa"/>
            </w:tcMar>
          </w:tcPr>
          <w:p>
            <w:pPr>
              <w:spacing w:after="60"/>
            </w:pPr>
            <w:r>
              <w:rPr>
                <w:b w:val="0"/>
                <w:sz w:val="20"/>
              </w:rPr>
              <w:t>100 live attempts across the app</w:t>
            </w:r>
          </w:p>
        </w:tc>
      </w:tr>
      <w:tr>
        <w:trPr>
          <w:cantSplit/>
        </w:trPr>
        <w:tc>
          <w:tcPr>
            <w:tcW w:type="dxa" w:w="3096"/>
            <w:tcMar>
              <w:top w:w="90" w:type="dxa"/>
              <w:left w:w="90" w:type="dxa"/>
              <w:bottom w:w="90" w:type="dxa"/>
              <w:right w:w="90" w:type="dxa"/>
            </w:tcMar>
          </w:tcPr>
          <w:p>
            <w:pPr>
              <w:spacing w:after="60"/>
            </w:pPr>
            <w:r>
              <w:rPr>
                <w:b w:val="0"/>
                <w:sz w:val="20"/>
              </w:rPr>
              <w:t>MONTHLY_REQUEST_LIMIT</w:t>
            </w:r>
          </w:p>
        </w:tc>
        <w:tc>
          <w:tcPr>
            <w:tcW w:type="dxa" w:w="6840"/>
            <w:tcMar>
              <w:top w:w="90" w:type="dxa"/>
              <w:left w:w="90" w:type="dxa"/>
              <w:bottom w:w="90" w:type="dxa"/>
              <w:right w:w="90" w:type="dxa"/>
            </w:tcMar>
          </w:tcPr>
          <w:p>
            <w:pPr>
              <w:spacing w:after="60"/>
            </w:pPr>
            <w:r>
              <w:rPr>
                <w:b w:val="0"/>
                <w:sz w:val="20"/>
              </w:rPr>
              <w:t>500 live attempts across the app</w:t>
            </w:r>
          </w:p>
        </w:tc>
      </w:tr>
      <w:tr>
        <w:trPr>
          <w:cantSplit/>
        </w:trPr>
        <w:tc>
          <w:tcPr>
            <w:tcW w:type="dxa" w:w="3096"/>
            <w:tcMar>
              <w:top w:w="90" w:type="dxa"/>
              <w:left w:w="90" w:type="dxa"/>
              <w:bottom w:w="90" w:type="dxa"/>
              <w:right w:w="90" w:type="dxa"/>
            </w:tcMar>
          </w:tcPr>
          <w:p>
            <w:pPr>
              <w:spacing w:after="60"/>
            </w:pPr>
            <w:r>
              <w:rPr>
                <w:b w:val="0"/>
                <w:sz w:val="20"/>
              </w:rPr>
              <w:t>Quota store credentials</w:t>
            </w:r>
          </w:p>
        </w:tc>
        <w:tc>
          <w:tcPr>
            <w:tcW w:type="dxa" w:w="6840"/>
            <w:tcMar>
              <w:top w:w="90" w:type="dxa"/>
              <w:left w:w="90" w:type="dxa"/>
              <w:bottom w:w="90" w:type="dxa"/>
              <w:right w:w="90" w:type="dxa"/>
            </w:tcMar>
          </w:tcPr>
          <w:p>
            <w:pPr>
              <w:spacing w:after="60"/>
            </w:pPr>
            <w:r>
              <w:rPr>
                <w:b w:val="0"/>
                <w:sz w:val="20"/>
              </w:rPr>
              <w:t>Server-only URL/token required for live production</w:t>
            </w:r>
          </w:p>
        </w:tc>
      </w:tr>
      <w:tr>
        <w:trPr>
          <w:cantSplit/>
        </w:trPr>
        <w:tc>
          <w:tcPr>
            <w:tcW w:type="dxa" w:w="3096"/>
            <w:tcMar>
              <w:top w:w="90" w:type="dxa"/>
              <w:left w:w="90" w:type="dxa"/>
              <w:bottom w:w="90" w:type="dxa"/>
              <w:right w:w="90" w:type="dxa"/>
            </w:tcMar>
          </w:tcPr>
          <w:p>
            <w:pPr>
              <w:spacing w:after="60"/>
            </w:pPr>
            <w:r>
              <w:rPr>
                <w:b w:val="0"/>
                <w:sz w:val="20"/>
              </w:rPr>
              <w:t>FRAME_ANCESTORS</w:t>
            </w:r>
          </w:p>
        </w:tc>
        <w:tc>
          <w:tcPr>
            <w:tcW w:type="dxa" w:w="6840"/>
            <w:tcMar>
              <w:top w:w="90" w:type="dxa"/>
              <w:left w:w="90" w:type="dxa"/>
              <w:bottom w:w="90" w:type="dxa"/>
              <w:right w:w="90" w:type="dxa"/>
            </w:tcMar>
          </w:tcPr>
          <w:p>
            <w:pPr>
              <w:spacing w:after="60"/>
            </w:pPr>
            <w:r>
              <w:rPr>
                <w:b w:val="0"/>
                <w:sz w:val="20"/>
              </w:rPr>
              <w:t>Verified Google Sites ancestor origins</w:t>
            </w:r>
          </w:p>
        </w:tc>
      </w:tr>
    </w:tbl>
    <w:p>
      <w:r>
        <w:br w:type="page"/>
      </w:r>
    </w:p>
    <w:p>
      <w:pPr>
        <w:pStyle w:val="Heading1"/>
      </w:pPr>
      <w:r>
        <w:t>4 Security privacy and cost controls</w:t>
      </w:r>
    </w:p>
    <w:p>
      <w:pPr>
        <w:pStyle w:val="Heading2"/>
      </w:pPr>
      <w:r>
        <w:t>Protect the public endpoint</w:t>
      </w:r>
    </w:p>
    <w:p>
      <w:r>
        <w:t>An iframe allowlist and CORS are browser controls, not authentication. Anyone who finds the Vercel URL can call the public endpoint. Enforce quotas on the server before every OpenAI request; hiding the chat URL does not protect the budget.</w:t>
      </w:r>
    </w:p>
    <w:p>
      <w:pPr>
        <w:pStyle w:val="ListBullet"/>
      </w:pPr>
      <w:r>
        <w:t>Use a durable shared store with atomic counters, such as a suitable Redis service. An in-memory variable in a serverless function is not a reliable global limit. Confirm provider cost and provisioning before live launch.</w:t>
      </w:r>
    </w:p>
    <w:p>
      <w:pPr>
        <w:pStyle w:val="ListBullet"/>
      </w:pPr>
      <w:r>
        <w:t>Count attempts before calling OpenAI: 100 per UTC day and 500 per UTC month globally. Also throttle bursts per trusted client IP, with configurable thresholds for a school network where many students share one IP.</w:t>
      </w:r>
    </w:p>
    <w:p>
      <w:pPr>
        <w:pStyle w:val="ListBullet"/>
      </w:pPr>
      <w:r>
        <w:t>If the store fails or required production settings are missing, block paid calls. Use one upstream call per submission and disable automatic SDK retries initially. Add a 25-second upstream timeout and a compatible hosting timeout.</w:t>
      </w:r>
    </w:p>
    <w:p>
      <w:pPr>
        <w:pStyle w:val="ListBullet"/>
      </w:pPr>
      <w:r>
        <w:t>Return safe JSON errors: 400 invalid input, 429 quota or rate limit, 503 disabled or unavailable. Do not expose keys, raw provider errors or stack traces. Log only request ID, status, latency and token totals.</w:t>
      </w:r>
    </w:p>
    <w:p>
      <w:pPr>
        <w:pStyle w:val="ListBullet"/>
      </w:pPr>
      <w:r>
        <w:t>Render responses as text or sanitized Markdown with raw HTML disabled. Treat user content as untrusted. Include an AI-generated estimates notice; do not collect guest lists, student records or sensitive personal details.</w:t>
      </w:r>
    </w:p>
    <w:p>
      <w:pPr>
        <w:pStyle w:val="Heading2"/>
      </w:pPr>
      <w:r>
        <w:t>Keep embedding compatible</w:t>
      </w:r>
    </w:p>
    <w:p>
      <w:r>
        <w:t>Set frame-ancestors in an HTTP Content-Security-Policy header on the embedded page. Allow the verified Google Sites origin and every intermediate ancestor used by the actual embed; custom domains and Google wrappers may require additional origins. Do not assume one copied allowlist works everywhere. Remove conflicting X-Frame-Options DENY or SAMEORIGIN from the embed response. Keep unrelated security controls. [8]</w:t>
      </w:r>
    </w:p>
    <w:p>
      <w:r>
        <w:t>Use same-origin fetch("/api/chat") from the Vercel iframe. Its normal Origin is the Vercel app, not the enclosing Google Sites page. Avoid broad CORS settings and do not reject a valid embed because the outer page has a different origin. Inspect the actual sandbox/origin behavior if requests fail.</w:t>
      </w:r>
    </w:p>
    <w:p>
      <w:pPr>
        <w:pStyle w:val="Heading2"/>
      </w:pPr>
      <w:r>
        <w:t>Data handling</w:t>
      </w:r>
    </w:p>
    <w:p>
      <w:r>
        <w:t>Keep transcripts out of the application database and logs. store:false reduces Responses application-state storage, but it is not a promise of zero provider retention; abuse-monitoring logs and account-specific data controls can still apply. Display: “AI planning assistant. Use fictional details. Messages are sent to OpenAI. Estimates need checking.” [11]</w:t>
      </w:r>
    </w:p>
    <w:p>
      <w:r>
        <w:t>After the class demonstration, set CHAT_ENABLED=false and redeploy. If immediate shutdown is needed, revoke the project key as well. Keep screenshots and a labeled mock mode for a demonstration without ongoing API costs.</w:t>
      </w:r>
    </w:p>
    <w:p>
      <w:r>
        <w:br w:type="page"/>
      </w:r>
    </w:p>
    <w:p>
      <w:pPr>
        <w:pStyle w:val="Heading1"/>
      </w:pPr>
      <w:r>
        <w:t>5 Model choice and API budget</w:t>
      </w:r>
    </w:p>
    <w:p>
      <w:r>
        <w:t>Prices below are standard text-token list rates checked on 11 October 2026. Recheck before building. Account access and model retirement dates can differ; do not silently switch to a more expensive model.</w:t>
      </w:r>
    </w:p>
    <w:tbl>
      <w:tblPr>
        <w:tblW w:type="auto" w:w="0"/>
        <w:tblLayout w:type="fixed"/>
        <w:tblLook w:firstColumn="1" w:firstRow="1" w:lastColumn="0" w:lastRow="0" w:noHBand="0" w:noVBand="1" w:val="04A0"/>
      </w:tblPr>
      <w:tblGrid>
        <w:gridCol w:w="2376"/>
        <w:gridCol w:w="1584"/>
        <w:gridCol w:w="1584"/>
        <w:gridCol w:w="4392"/>
      </w:tblGrid>
      <w:tr>
        <w:trPr>
          <w:cantSplit/>
          <w:tblHeader/>
        </w:trPr>
        <w:tc>
          <w:tcPr>
            <w:tcW w:type="dxa" w:w="2376"/>
            <w:tcMar>
              <w:top w:w="90" w:type="dxa"/>
              <w:left w:w="90" w:type="dxa"/>
              <w:bottom w:w="90" w:type="dxa"/>
              <w:right w:w="90" w:type="dxa"/>
            </w:tcMar>
            <w:shd w:fill="EAEAEA"/>
          </w:tcPr>
          <w:p>
            <w:pPr>
              <w:spacing w:after="60"/>
            </w:pPr>
            <w:r>
              <w:rPr>
                <w:b/>
                <w:sz w:val="20"/>
              </w:rPr>
              <w:t>Model</w:t>
            </w:r>
          </w:p>
        </w:tc>
        <w:tc>
          <w:tcPr>
            <w:tcW w:type="dxa" w:w="1584"/>
            <w:tcMar>
              <w:top w:w="90" w:type="dxa"/>
              <w:left w:w="90" w:type="dxa"/>
              <w:bottom w:w="90" w:type="dxa"/>
              <w:right w:w="90" w:type="dxa"/>
            </w:tcMar>
            <w:shd w:fill="EAEAEA"/>
          </w:tcPr>
          <w:p>
            <w:pPr>
              <w:spacing w:after="60"/>
            </w:pPr>
            <w:r>
              <w:rPr>
                <w:b/>
                <w:sz w:val="20"/>
              </w:rPr>
              <w:t>Input per 1M</w:t>
            </w:r>
          </w:p>
        </w:tc>
        <w:tc>
          <w:tcPr>
            <w:tcW w:type="dxa" w:w="1584"/>
            <w:tcMar>
              <w:top w:w="90" w:type="dxa"/>
              <w:left w:w="90" w:type="dxa"/>
              <w:bottom w:w="90" w:type="dxa"/>
              <w:right w:w="90" w:type="dxa"/>
            </w:tcMar>
            <w:shd w:fill="EAEAEA"/>
          </w:tcPr>
          <w:p>
            <w:pPr>
              <w:spacing w:after="60"/>
            </w:pPr>
            <w:r>
              <w:rPr>
                <w:b/>
                <w:sz w:val="20"/>
              </w:rPr>
              <w:t>Output per 1M</w:t>
            </w:r>
          </w:p>
        </w:tc>
        <w:tc>
          <w:tcPr>
            <w:tcW w:type="dxa" w:w="4392"/>
            <w:tcMar>
              <w:top w:w="90" w:type="dxa"/>
              <w:left w:w="90" w:type="dxa"/>
              <w:bottom w:w="90" w:type="dxa"/>
              <w:right w:w="90" w:type="dxa"/>
            </w:tcMar>
            <w:shd w:fill="EAEAEA"/>
          </w:tcPr>
          <w:p>
            <w:pPr>
              <w:spacing w:after="60"/>
            </w:pPr>
            <w:r>
              <w:rPr>
                <w:b/>
                <w:sz w:val="20"/>
              </w:rPr>
              <w:t>Decision</w:t>
            </w:r>
          </w:p>
        </w:tc>
      </w:tr>
      <w:tr>
        <w:trPr>
          <w:cantSplit/>
        </w:trPr>
        <w:tc>
          <w:tcPr>
            <w:tcW w:type="dxa" w:w="2376"/>
            <w:tcMar>
              <w:top w:w="90" w:type="dxa"/>
              <w:left w:w="90" w:type="dxa"/>
              <w:bottom w:w="90" w:type="dxa"/>
              <w:right w:w="90" w:type="dxa"/>
            </w:tcMar>
          </w:tcPr>
          <w:p>
            <w:pPr>
              <w:spacing w:after="60"/>
            </w:pPr>
            <w:r>
              <w:rPr>
                <w:b w:val="0"/>
                <w:sz w:val="20"/>
              </w:rPr>
              <w:t>gpt-5.6-luna</w:t>
            </w:r>
          </w:p>
        </w:tc>
        <w:tc>
          <w:tcPr>
            <w:tcW w:type="dxa" w:w="1584"/>
            <w:tcMar>
              <w:top w:w="90" w:type="dxa"/>
              <w:left w:w="90" w:type="dxa"/>
              <w:bottom w:w="90" w:type="dxa"/>
              <w:right w:w="90" w:type="dxa"/>
            </w:tcMar>
          </w:tcPr>
          <w:p>
            <w:pPr>
              <w:spacing w:after="60"/>
            </w:pPr>
            <w:r>
              <w:rPr>
                <w:b w:val="0"/>
                <w:sz w:val="20"/>
              </w:rPr>
              <w:t>$0.20</w:t>
            </w:r>
          </w:p>
        </w:tc>
        <w:tc>
          <w:tcPr>
            <w:tcW w:type="dxa" w:w="1584"/>
            <w:tcMar>
              <w:top w:w="90" w:type="dxa"/>
              <w:left w:w="90" w:type="dxa"/>
              <w:bottom w:w="90" w:type="dxa"/>
              <w:right w:w="90" w:type="dxa"/>
            </w:tcMar>
          </w:tcPr>
          <w:p>
            <w:pPr>
              <w:spacing w:after="60"/>
            </w:pPr>
            <w:r>
              <w:rPr>
                <w:b w:val="0"/>
                <w:sz w:val="20"/>
              </w:rPr>
              <w:t>$1.20</w:t>
            </w:r>
          </w:p>
        </w:tc>
        <w:tc>
          <w:tcPr>
            <w:tcW w:type="dxa" w:w="4392"/>
            <w:tcMar>
              <w:top w:w="90" w:type="dxa"/>
              <w:left w:w="90" w:type="dxa"/>
              <w:bottom w:w="90" w:type="dxa"/>
              <w:right w:w="90" w:type="dxa"/>
            </w:tcMar>
          </w:tcPr>
          <w:p>
            <w:pPr>
              <w:spacing w:after="60"/>
            </w:pPr>
            <w:r>
              <w:rPr>
                <w:b w:val="0"/>
                <w:sz w:val="20"/>
              </w:rPr>
              <w:t>Recommended starting model [1]</w:t>
            </w:r>
          </w:p>
        </w:tc>
      </w:tr>
      <w:tr>
        <w:trPr>
          <w:cantSplit/>
        </w:trPr>
        <w:tc>
          <w:tcPr>
            <w:tcW w:type="dxa" w:w="2376"/>
            <w:tcMar>
              <w:top w:w="90" w:type="dxa"/>
              <w:left w:w="90" w:type="dxa"/>
              <w:bottom w:w="90" w:type="dxa"/>
              <w:right w:w="90" w:type="dxa"/>
            </w:tcMar>
          </w:tcPr>
          <w:p>
            <w:pPr>
              <w:spacing w:after="60"/>
            </w:pPr>
            <w:r>
              <w:rPr>
                <w:b w:val="0"/>
                <w:sz w:val="20"/>
              </w:rPr>
              <w:t>gpt-5.4-nano</w:t>
            </w:r>
          </w:p>
        </w:tc>
        <w:tc>
          <w:tcPr>
            <w:tcW w:type="dxa" w:w="1584"/>
            <w:tcMar>
              <w:top w:w="90" w:type="dxa"/>
              <w:left w:w="90" w:type="dxa"/>
              <w:bottom w:w="90" w:type="dxa"/>
              <w:right w:w="90" w:type="dxa"/>
            </w:tcMar>
          </w:tcPr>
          <w:p>
            <w:pPr>
              <w:spacing w:after="60"/>
            </w:pPr>
            <w:r>
              <w:rPr>
                <w:b w:val="0"/>
                <w:sz w:val="20"/>
              </w:rPr>
              <w:t>$0.20</w:t>
            </w:r>
          </w:p>
        </w:tc>
        <w:tc>
          <w:tcPr>
            <w:tcW w:type="dxa" w:w="1584"/>
            <w:tcMar>
              <w:top w:w="90" w:type="dxa"/>
              <w:left w:w="90" w:type="dxa"/>
              <w:bottom w:w="90" w:type="dxa"/>
              <w:right w:w="90" w:type="dxa"/>
            </w:tcMar>
          </w:tcPr>
          <w:p>
            <w:pPr>
              <w:spacing w:after="60"/>
            </w:pPr>
            <w:r>
              <w:rPr>
                <w:b w:val="0"/>
                <w:sz w:val="20"/>
              </w:rPr>
              <w:t>$1.25</w:t>
            </w:r>
          </w:p>
        </w:tc>
        <w:tc>
          <w:tcPr>
            <w:tcW w:type="dxa" w:w="4392"/>
            <w:tcMar>
              <w:top w:w="90" w:type="dxa"/>
              <w:left w:w="90" w:type="dxa"/>
              <w:bottom w:w="90" w:type="dxa"/>
              <w:right w:w="90" w:type="dxa"/>
            </w:tcMar>
          </w:tcPr>
          <w:p>
            <w:pPr>
              <w:spacing w:after="60"/>
            </w:pPr>
            <w:r>
              <w:rPr>
                <w:b w:val="0"/>
                <w:sz w:val="20"/>
              </w:rPr>
              <w:t>Alternative if needed [12]</w:t>
            </w:r>
          </w:p>
        </w:tc>
      </w:tr>
      <w:tr>
        <w:trPr>
          <w:cantSplit/>
        </w:trPr>
        <w:tc>
          <w:tcPr>
            <w:tcW w:type="dxa" w:w="2376"/>
            <w:tcMar>
              <w:top w:w="90" w:type="dxa"/>
              <w:left w:w="90" w:type="dxa"/>
              <w:bottom w:w="90" w:type="dxa"/>
              <w:right w:w="90" w:type="dxa"/>
            </w:tcMar>
          </w:tcPr>
          <w:p>
            <w:pPr>
              <w:spacing w:after="60"/>
            </w:pPr>
            <w:r>
              <w:rPr>
                <w:b w:val="0"/>
                <w:sz w:val="20"/>
              </w:rPr>
              <w:t>gpt-5-nano</w:t>
            </w:r>
          </w:p>
        </w:tc>
        <w:tc>
          <w:tcPr>
            <w:tcW w:type="dxa" w:w="1584"/>
            <w:tcMar>
              <w:top w:w="90" w:type="dxa"/>
              <w:left w:w="90" w:type="dxa"/>
              <w:bottom w:w="90" w:type="dxa"/>
              <w:right w:w="90" w:type="dxa"/>
            </w:tcMar>
          </w:tcPr>
          <w:p>
            <w:pPr>
              <w:spacing w:after="60"/>
            </w:pPr>
            <w:r>
              <w:rPr>
                <w:b w:val="0"/>
                <w:sz w:val="20"/>
              </w:rPr>
              <w:t>$0.05</w:t>
            </w:r>
          </w:p>
        </w:tc>
        <w:tc>
          <w:tcPr>
            <w:tcW w:type="dxa" w:w="1584"/>
            <w:tcMar>
              <w:top w:w="90" w:type="dxa"/>
              <w:left w:w="90" w:type="dxa"/>
              <w:bottom w:w="90" w:type="dxa"/>
              <w:right w:w="90" w:type="dxa"/>
            </w:tcMar>
          </w:tcPr>
          <w:p>
            <w:pPr>
              <w:spacing w:after="60"/>
            </w:pPr>
            <w:r>
              <w:rPr>
                <w:b w:val="0"/>
                <w:sz w:val="20"/>
              </w:rPr>
              <w:t>$0.40</w:t>
            </w:r>
          </w:p>
        </w:tc>
        <w:tc>
          <w:tcPr>
            <w:tcW w:type="dxa" w:w="4392"/>
            <w:tcMar>
              <w:top w:w="90" w:type="dxa"/>
              <w:left w:w="90" w:type="dxa"/>
              <w:bottom w:w="90" w:type="dxa"/>
              <w:right w:w="90" w:type="dxa"/>
            </w:tcMar>
          </w:tcPr>
          <w:p>
            <w:pPr>
              <w:spacing w:after="60"/>
            </w:pPr>
            <w:r>
              <w:rPr>
                <w:b w:val="0"/>
                <w:sz w:val="20"/>
              </w:rPr>
              <w:t>Older; page marks deprecated [13]</w:t>
            </w:r>
          </w:p>
        </w:tc>
      </w:tr>
    </w:tbl>
    <w:p>
      <w:r>
        <w:t>Use gpt-5.6-luna with reasoning effort none for short event-planning replies. This is a low-cost starting choice, not a claim that it is the cheapest model ever offered. Run the acceptance examples before deciding whether quality is sufficient. Keep the API model independent of the model selected in Codex.</w:t>
      </w:r>
    </w:p>
    <w:p>
      <w:pPr>
        <w:pStyle w:val="Heading2"/>
      </w:pPr>
      <w:r>
        <w:t>Worked estimate</w:t>
      </w:r>
    </w:p>
    <w:p>
      <w:r>
        <w:t>Assume each reply uses 2,000 input tokens, including instructions and recent history, and 500 billed output tokens. At the recommended rates:</w:t>
      </w:r>
    </w:p>
    <w:p>
      <w:r>
        <w:t>Input: 2,000 ÷ 1,000,000 × $0.20 = $0.0004</w:t>
        <w:br/>
        <w:t>Output: 500 ÷ 1,000,000 × $1.20 = $0.0006</w:t>
        <w:br/>
        <w:t>Total: $0.001 per reply, or about $1 for 1,000 replies.</w:t>
      </w:r>
    </w:p>
    <w:p>
      <w:r>
        <w:t>A 10-reply conversation would cost about one cent under those assumptions. This is an estimate, not a fixed price per message: longer history and longer answers increase usage. If reasoning is enabled later, count billed reasoning tokens as well.</w:t>
      </w:r>
    </w:p>
    <w:p>
      <w:pPr>
        <w:pStyle w:val="Heading2"/>
      </w:pPr>
      <w:r>
        <w:t>A conservative classroom envelope</w:t>
      </w:r>
    </w:p>
    <w:p>
      <w:r>
        <w:t>With 6,000 input tokens and 800 output tokens as enforced ceilings, the simple token estimate is $0.00216 per call. Reserving $0.0025 per allowed attempt adds room for the documented cache-write premium on input. At 500 attempts per month, that is approximately $1.25 of model usage at these rates. It excludes hosting, storage, taxes and future price changes. [1]</w:t>
      </w:r>
    </w:p>
    <w:p>
      <w:r>
        <w:t>Use USD 5 as a project spend ceiling with earlier alerts, while the app caps attempts independently. Never treat a notification threshold as a hard stop. OpenAI documents hard limits that reject requests after tracked spend reaches the cap, but enforcement is not instantaneous. Confirm the account setting and test the disabled/quota UI with mocks rather than deliberately spending to the limit. [2]</w:t>
      </w:r>
    </w:p>
    <w:p>
      <w:pPr>
        <w:pStyle w:val="Heading2"/>
      </w:pPr>
      <w:r>
        <w:t>Keep costs predictable</w:t>
      </w:r>
    </w:p>
    <w:p>
      <w:pPr>
        <w:pStyle w:val="ListBullet"/>
      </w:pPr>
      <w:r>
        <w:t>No web search, file search, images, audio, vector database or paid tools in version one.</w:t>
      </w:r>
    </w:p>
    <w:p>
      <w:pPr>
        <w:pStyle w:val="ListBullet"/>
      </w:pPr>
      <w:r>
        <w:t>Keep the facts file and prompt short. Trim history instead of sending an unlimited transcript.</w:t>
      </w:r>
    </w:p>
    <w:p>
      <w:pPr>
        <w:pStyle w:val="ListBullet"/>
      </w:pPr>
      <w:r>
        <w:t>Record actual usage from the first 20–30 test replies and compare it with this estimate.</w:t>
      </w:r>
    </w:p>
    <w:p>
      <w:pPr>
        <w:pStyle w:val="ListBullet"/>
      </w:pPr>
      <w:r>
        <w:t>Use mock mode for most development and automated tests. Track live test usage separately.</w:t>
      </w:r>
    </w:p>
    <w:p>
      <w:r>
        <w:br w:type="page"/>
      </w:r>
    </w:p>
    <w:p>
      <w:pPr>
        <w:pStyle w:val="Heading1"/>
      </w:pPr>
      <w:r>
        <w:t>6 Milestones and acceptance criteria</w:t>
      </w:r>
    </w:p>
    <w:tbl>
      <w:tblPr>
        <w:tblW w:type="auto" w:w="0"/>
        <w:tblLayout w:type="fixed"/>
        <w:tblLook w:firstColumn="1" w:firstRow="1" w:lastColumn="0" w:lastRow="0" w:noHBand="0" w:noVBand="1" w:val="04A0"/>
      </w:tblPr>
      <w:tblGrid>
        <w:gridCol w:w="2016"/>
        <w:gridCol w:w="1944"/>
        <w:gridCol w:w="5976"/>
      </w:tblGrid>
      <w:tr>
        <w:trPr>
          <w:cantSplit/>
          <w:tblHeader/>
        </w:trPr>
        <w:tc>
          <w:tcPr>
            <w:tcW w:type="dxa" w:w="2016"/>
            <w:tcMar>
              <w:top w:w="90" w:type="dxa"/>
              <w:left w:w="90" w:type="dxa"/>
              <w:bottom w:w="90" w:type="dxa"/>
              <w:right w:w="90" w:type="dxa"/>
            </w:tcMar>
            <w:shd w:fill="EAEAEA"/>
          </w:tcPr>
          <w:p>
            <w:pPr>
              <w:spacing w:after="60"/>
            </w:pPr>
            <w:r>
              <w:rPr>
                <w:b/>
                <w:sz w:val="20"/>
              </w:rPr>
              <w:t>Milestone</w:t>
            </w:r>
          </w:p>
        </w:tc>
        <w:tc>
          <w:tcPr>
            <w:tcW w:type="dxa" w:w="1944"/>
            <w:tcMar>
              <w:top w:w="90" w:type="dxa"/>
              <w:left w:w="90" w:type="dxa"/>
              <w:bottom w:w="90" w:type="dxa"/>
              <w:right w:w="90" w:type="dxa"/>
            </w:tcMar>
            <w:shd w:fill="EAEAEA"/>
          </w:tcPr>
          <w:p>
            <w:pPr>
              <w:spacing w:after="60"/>
            </w:pPr>
            <w:r>
              <w:rPr>
                <w:b/>
                <w:sz w:val="20"/>
              </w:rPr>
              <w:t>Owner</w:t>
            </w:r>
          </w:p>
        </w:tc>
        <w:tc>
          <w:tcPr>
            <w:tcW w:type="dxa" w:w="5976"/>
            <w:tcMar>
              <w:top w:w="90" w:type="dxa"/>
              <w:left w:w="90" w:type="dxa"/>
              <w:bottom w:w="90" w:type="dxa"/>
              <w:right w:w="90" w:type="dxa"/>
            </w:tcMar>
            <w:shd w:fill="EAEAEA"/>
          </w:tcPr>
          <w:p>
            <w:pPr>
              <w:spacing w:after="60"/>
            </w:pPr>
            <w:r>
              <w:rPr>
                <w:b/>
                <w:sz w:val="20"/>
              </w:rPr>
              <w:t>Evidence required</w:t>
            </w:r>
          </w:p>
        </w:tc>
      </w:tr>
      <w:tr>
        <w:trPr>
          <w:cantSplit/>
        </w:trPr>
        <w:tc>
          <w:tcPr>
            <w:tcW w:type="dxa" w:w="2016"/>
            <w:tcMar>
              <w:top w:w="90" w:type="dxa"/>
              <w:left w:w="90" w:type="dxa"/>
              <w:bottom w:w="90" w:type="dxa"/>
              <w:right w:w="90" w:type="dxa"/>
            </w:tcMar>
          </w:tcPr>
          <w:p>
            <w:pPr>
              <w:spacing w:after="60"/>
            </w:pPr>
            <w:r>
              <w:rPr>
                <w:b w:val="0"/>
                <w:sz w:val="20"/>
              </w:rPr>
              <w:t>1 Prepare</w:t>
            </w:r>
          </w:p>
        </w:tc>
        <w:tc>
          <w:tcPr>
            <w:tcW w:type="dxa" w:w="1944"/>
            <w:tcMar>
              <w:top w:w="90" w:type="dxa"/>
              <w:left w:w="90" w:type="dxa"/>
              <w:bottom w:w="90" w:type="dxa"/>
              <w:right w:w="90" w:type="dxa"/>
            </w:tcMar>
          </w:tcPr>
          <w:p>
            <w:pPr>
              <w:spacing w:after="60"/>
            </w:pPr>
            <w:r>
              <w:rPr>
                <w:b w:val="0"/>
                <w:sz w:val="20"/>
              </w:rPr>
              <w:t>Student</w:t>
            </w:r>
          </w:p>
        </w:tc>
        <w:tc>
          <w:tcPr>
            <w:tcW w:type="dxa" w:w="5976"/>
            <w:tcMar>
              <w:top w:w="90" w:type="dxa"/>
              <w:left w:w="90" w:type="dxa"/>
              <w:bottom w:w="90" w:type="dxa"/>
              <w:right w:w="90" w:type="dxa"/>
            </w:tcMar>
          </w:tcPr>
          <w:p>
            <w:pPr>
              <w:spacing w:after="60"/>
            </w:pPr>
            <w:r>
              <w:rPr>
                <w:b w:val="0"/>
                <w:sz w:val="20"/>
              </w:rPr>
              <w:t>Accounts, repo, project facts and budget ready</w:t>
            </w:r>
          </w:p>
        </w:tc>
      </w:tr>
      <w:tr>
        <w:trPr>
          <w:cantSplit/>
        </w:trPr>
        <w:tc>
          <w:tcPr>
            <w:tcW w:type="dxa" w:w="2016"/>
            <w:tcMar>
              <w:top w:w="90" w:type="dxa"/>
              <w:left w:w="90" w:type="dxa"/>
              <w:bottom w:w="90" w:type="dxa"/>
              <w:right w:w="90" w:type="dxa"/>
            </w:tcMar>
          </w:tcPr>
          <w:p>
            <w:pPr>
              <w:spacing w:after="60"/>
            </w:pPr>
            <w:r>
              <w:rPr>
                <w:b w:val="0"/>
                <w:sz w:val="20"/>
              </w:rPr>
              <w:t>2 Build locally</w:t>
            </w:r>
          </w:p>
        </w:tc>
        <w:tc>
          <w:tcPr>
            <w:tcW w:type="dxa" w:w="1944"/>
            <w:tcMar>
              <w:top w:w="90" w:type="dxa"/>
              <w:left w:w="90" w:type="dxa"/>
              <w:bottom w:w="90" w:type="dxa"/>
              <w:right w:w="90" w:type="dxa"/>
            </w:tcMar>
          </w:tcPr>
          <w:p>
            <w:pPr>
              <w:spacing w:after="60"/>
            </w:pPr>
            <w:r>
              <w:rPr>
                <w:b w:val="0"/>
                <w:sz w:val="20"/>
              </w:rPr>
              <w:t>Codex</w:t>
            </w:r>
          </w:p>
        </w:tc>
        <w:tc>
          <w:tcPr>
            <w:tcW w:type="dxa" w:w="5976"/>
            <w:tcMar>
              <w:top w:w="90" w:type="dxa"/>
              <w:left w:w="90" w:type="dxa"/>
              <w:bottom w:w="90" w:type="dxa"/>
              <w:right w:w="90" w:type="dxa"/>
            </w:tcMar>
          </w:tcPr>
          <w:p>
            <w:pPr>
              <w:spacing w:after="60"/>
            </w:pPr>
            <w:r>
              <w:rPr>
                <w:b w:val="0"/>
                <w:sz w:val="20"/>
              </w:rPr>
              <w:t>Mock chat, mobile layout and planner flow work</w:t>
            </w:r>
          </w:p>
        </w:tc>
      </w:tr>
      <w:tr>
        <w:trPr>
          <w:cantSplit/>
        </w:trPr>
        <w:tc>
          <w:tcPr>
            <w:tcW w:type="dxa" w:w="2016"/>
            <w:tcMar>
              <w:top w:w="90" w:type="dxa"/>
              <w:left w:w="90" w:type="dxa"/>
              <w:bottom w:w="90" w:type="dxa"/>
              <w:right w:w="90" w:type="dxa"/>
            </w:tcMar>
          </w:tcPr>
          <w:p>
            <w:pPr>
              <w:spacing w:after="60"/>
            </w:pPr>
            <w:r>
              <w:rPr>
                <w:b w:val="0"/>
                <w:sz w:val="20"/>
              </w:rPr>
              <w:t>3 Connect securely</w:t>
            </w:r>
          </w:p>
        </w:tc>
        <w:tc>
          <w:tcPr>
            <w:tcW w:type="dxa" w:w="1944"/>
            <w:tcMar>
              <w:top w:w="90" w:type="dxa"/>
              <w:left w:w="90" w:type="dxa"/>
              <w:bottom w:w="90" w:type="dxa"/>
              <w:right w:w="90" w:type="dxa"/>
            </w:tcMar>
          </w:tcPr>
          <w:p>
            <w:pPr>
              <w:spacing w:after="60"/>
            </w:pPr>
            <w:r>
              <w:rPr>
                <w:b w:val="0"/>
                <w:sz w:val="20"/>
              </w:rPr>
              <w:t>Codex + student</w:t>
            </w:r>
          </w:p>
        </w:tc>
        <w:tc>
          <w:tcPr>
            <w:tcW w:type="dxa" w:w="5976"/>
            <w:tcMar>
              <w:top w:w="90" w:type="dxa"/>
              <w:left w:w="90" w:type="dxa"/>
              <w:bottom w:w="90" w:type="dxa"/>
              <w:right w:w="90" w:type="dxa"/>
            </w:tcMar>
          </w:tcPr>
          <w:p>
            <w:pPr>
              <w:spacing w:after="60"/>
            </w:pPr>
            <w:r>
              <w:rPr>
                <w:b w:val="0"/>
                <w:sz w:val="20"/>
              </w:rPr>
              <w:t>Server key, quotas and small live test pass</w:t>
            </w:r>
          </w:p>
        </w:tc>
      </w:tr>
      <w:tr>
        <w:trPr>
          <w:cantSplit/>
        </w:trPr>
        <w:tc>
          <w:tcPr>
            <w:tcW w:type="dxa" w:w="2016"/>
            <w:tcMar>
              <w:top w:w="90" w:type="dxa"/>
              <w:left w:w="90" w:type="dxa"/>
              <w:bottom w:w="90" w:type="dxa"/>
              <w:right w:w="90" w:type="dxa"/>
            </w:tcMar>
          </w:tcPr>
          <w:p>
            <w:pPr>
              <w:spacing w:after="60"/>
            </w:pPr>
            <w:r>
              <w:rPr>
                <w:b w:val="0"/>
                <w:sz w:val="20"/>
              </w:rPr>
              <w:t>4 Deploy</w:t>
            </w:r>
          </w:p>
        </w:tc>
        <w:tc>
          <w:tcPr>
            <w:tcW w:type="dxa" w:w="1944"/>
            <w:tcMar>
              <w:top w:w="90" w:type="dxa"/>
              <w:left w:w="90" w:type="dxa"/>
              <w:bottom w:w="90" w:type="dxa"/>
              <w:right w:w="90" w:type="dxa"/>
            </w:tcMar>
          </w:tcPr>
          <w:p>
            <w:pPr>
              <w:spacing w:after="60"/>
            </w:pPr>
            <w:r>
              <w:rPr>
                <w:b w:val="0"/>
                <w:sz w:val="20"/>
              </w:rPr>
              <w:t>Student + Codex</w:t>
            </w:r>
          </w:p>
        </w:tc>
        <w:tc>
          <w:tcPr>
            <w:tcW w:type="dxa" w:w="5976"/>
            <w:tcMar>
              <w:top w:w="90" w:type="dxa"/>
              <w:left w:w="90" w:type="dxa"/>
              <w:bottom w:w="90" w:type="dxa"/>
              <w:right w:w="90" w:type="dxa"/>
            </w:tcMar>
          </w:tcPr>
          <w:p>
            <w:pPr>
              <w:spacing w:after="60"/>
            </w:pPr>
            <w:r>
              <w:rPr>
                <w:b w:val="0"/>
                <w:sz w:val="20"/>
              </w:rPr>
              <w:t>Stable production URL and signed-out test pass</w:t>
            </w:r>
          </w:p>
        </w:tc>
      </w:tr>
      <w:tr>
        <w:trPr>
          <w:cantSplit/>
        </w:trPr>
        <w:tc>
          <w:tcPr>
            <w:tcW w:type="dxa" w:w="2016"/>
            <w:tcMar>
              <w:top w:w="90" w:type="dxa"/>
              <w:left w:w="90" w:type="dxa"/>
              <w:bottom w:w="90" w:type="dxa"/>
              <w:right w:w="90" w:type="dxa"/>
            </w:tcMar>
          </w:tcPr>
          <w:p>
            <w:pPr>
              <w:spacing w:after="60"/>
            </w:pPr>
            <w:r>
              <w:rPr>
                <w:b w:val="0"/>
                <w:sz w:val="20"/>
              </w:rPr>
              <w:t>5 Embed and submit</w:t>
            </w:r>
          </w:p>
        </w:tc>
        <w:tc>
          <w:tcPr>
            <w:tcW w:type="dxa" w:w="1944"/>
            <w:tcMar>
              <w:top w:w="90" w:type="dxa"/>
              <w:left w:w="90" w:type="dxa"/>
              <w:bottom w:w="90" w:type="dxa"/>
              <w:right w:w="90" w:type="dxa"/>
            </w:tcMar>
          </w:tcPr>
          <w:p>
            <w:pPr>
              <w:spacing w:after="60"/>
            </w:pPr>
            <w:r>
              <w:rPr>
                <w:b w:val="0"/>
                <w:sz w:val="20"/>
              </w:rPr>
              <w:t>Student + Codex</w:t>
            </w:r>
          </w:p>
        </w:tc>
        <w:tc>
          <w:tcPr>
            <w:tcW w:type="dxa" w:w="5976"/>
            <w:tcMar>
              <w:top w:w="90" w:type="dxa"/>
              <w:left w:w="90" w:type="dxa"/>
              <w:bottom w:w="90" w:type="dxa"/>
              <w:right w:w="90" w:type="dxa"/>
            </w:tcMar>
          </w:tcPr>
          <w:p>
            <w:pPr>
              <w:spacing w:after="60"/>
            </w:pPr>
            <w:r>
              <w:rPr>
                <w:b w:val="0"/>
                <w:sz w:val="20"/>
              </w:rPr>
              <w:t>Published Google Sites test and handoff complete</w:t>
            </w:r>
          </w:p>
        </w:tc>
      </w:tr>
    </w:tbl>
    <w:p>
      <w:pPr>
        <w:pStyle w:val="Heading2"/>
      </w:pPr>
      <w:r>
        <w:t>Required acceptance checks</w:t>
      </w:r>
    </w:p>
    <w:p>
      <w:r>
        <w:t>[  ] Plan quality: “Plan a two-hour school fundraiser for 40 guests with a $300 budget.” The bot asks for missing constraints, gives a timed agenda and budget with correct totals, and labels estimates.</w:t>
      </w:r>
    </w:p>
    <w:p>
      <w:r>
        <w:t>[  ] Revision: “Make it indoors and cut the budget to $200.” The reply preserves the guest count and duration while updating venue assumptions and totals.</w:t>
      </w:r>
    </w:p>
    <w:p>
      <w:r>
        <w:t>[  ] Honesty: a request for a confirmed vendor price or booking gets a clear limitation, not invented confirmation. Unrelated requests are briefly redirected to event planning.</w:t>
      </w:r>
    </w:p>
    <w:p>
      <w:r>
        <w:t>[  ] Interface: works at 320-pixel width without horizontal scrolling; keyboard Send, multiline input, Clear, Copy fallback, loading and error states work.</w:t>
      </w:r>
    </w:p>
    <w:p>
      <w:r>
        <w:t>[  ] Security: no API key in tracked files, browser bundles, browser network responses or logs; injected system roles and client-supplied model overrides are rejected.</w:t>
      </w:r>
    </w:p>
    <w:p>
      <w:r>
        <w:t>[  ] Limits: automated mocked tests cover oversized input, 429, missing key, disabled mode, timeout, empty response and quota-store failure. Concurrent requests cannot bypass global counters.</w:t>
      </w:r>
    </w:p>
    <w:p>
      <w:r>
        <w:t>[  ] Deployment: install, type check, lint, tests and production build pass; real API smoke test records usage without storing the conversation.</w:t>
      </w:r>
    </w:p>
    <w:p>
      <w:r>
        <w:t>[  ] Embed: the published Google Sites page works signed out, on desktop and phone, without framing-header or authentication failures. Standalone fallback works too.</w:t>
      </w:r>
    </w:p>
    <w:p>
      <w:pPr>
        <w:pStyle w:val="Heading2"/>
      </w:pPr>
      <w:r>
        <w:t>Final handoff from Codex</w:t>
      </w:r>
    </w:p>
    <w:p>
      <w:r>
        <w:t>Provide the repository and production URLs, final embed URL/code, tested versions, environment variable names, test results, known limits, and the steps to disable or redeploy. Identify anything only the student could verify, such as the school network or Google Sites publish settings. Do not call an untested embed complete.</w:t>
      </w:r>
    </w:p>
    <w:p>
      <w:pPr>
        <w:pStyle w:val="Heading2"/>
      </w:pPr>
      <w:r>
        <w:t>Change and recovery procedure</w:t>
      </w:r>
    </w:p>
    <w:p>
      <w:r>
        <w:t>Use a branch for later changes, review its preview, and merge to main for production. If a release breaks, restore a known-good deployment or revert the commit and redeploy. Keep the paid endpoint disabled while fixing cost or credential problems. A rollback does not undo leaked credentials; rotate those separately.</w:t>
      </w:r>
    </w:p>
    <w:p>
      <w:r>
        <w:br w:type="page"/>
      </w:r>
    </w:p>
    <w:p>
      <w:pPr>
        <w:pStyle w:val="Heading1"/>
      </w:pPr>
      <w:r>
        <w:t>7 Copy and paste into Codex</w:t>
      </w:r>
    </w:p>
    <w:p>
      <w:r>
        <w:t>Attach this document to a chat in the repository workspace, then paste the prompt below and its continuation in section 8. A separate plain-text prompt file contains both parts.</w:t>
      </w:r>
    </w:p>
    <w:p>
      <w:r>
        <w:t>Implement an AI event-planner chatbot for my school project using the attached instruction document as the specification. Work in the selected repository. Build and test the app; do not stop at a plan. Keep me informed in plain language and continue independent work while waiting for account setup.</w:t>
      </w:r>
    </w:p>
    <w:p>
      <w:r>
        <w:t>Use Next.js App Router, TypeScript, a Node server route, and the official OpenAI SDK with the Responses API. Create a standalone page at / and an iframe-ready page at /embed, both hosted by Vercel. Use gpt-5.6-luna with reasoning effort none, store:false, max_output_tokens:800, and no tools. Verify the current model ID, pricing and parameter support before live use. Keep OPENAI_MODEL server controlled. Do not switch models or add paid services without explaining the cost and getting my agreement.</w:t>
      </w:r>
    </w:p>
    <w:p>
      <w:r>
        <w:t>Build an always-open chat panel with starter prompts, a transcript, Send, Clear chat, Copy plan, loading and error states, and a standalone link. Make it accessible, mobile friendly at 320 pixels, and usable without third-party cookies or browser storage. The chatbot must stay within the Google Sites iframe. Do not promise a floating widget across the outer Google Sites page.</w:t>
      </w:r>
    </w:p>
    <w:p>
      <w:r>
        <w:t>The bot should help with themes, agendas, estimated budgets and checklists. Ask at most two clarifying questions at a time about event type, date, duration, guest count, location, currency and budget. Use a small editable facts file. Label estimates and assumptions; never claim bookings, live vendor quotes or school policies without supplied evidence. Verify arithmetic in code. No calendar access, payments, invitations, browsing, uploads or database of chat transcripts in version one.</w:t>
      </w:r>
    </w:p>
    <w:p>
      <w:r>
        <w:t>Implement POST /api/chat with validated message/history JSON. Enforce a 2,000-character new message, at most 12 prior user/assistant messages, a 32 KB body limit, and a 6,000-token total input ceiling including instructions and facts. Reject injected roles and configuration fields. Safely trim old context or reject an oversized request. Render text safely without raw HTML.</w:t>
      </w:r>
    </w:p>
    <w:p>
      <w:r>
        <w:t>Keep OPENAI_API_KEY only on the server. Produce a placeholder .env.example and ignore real environment files. Never ask me to paste a key into chat or commit one. I will enter secrets privately into .env.local and Vercel. Use mock mode while credentials are unavailable, clearly labeled as a demo, and do not silently substitute mock answers for failed live calls.</w:t>
      </w:r>
    </w:p>
    <w:p>
      <w:r>
        <w:br w:type="page"/>
      </w:r>
    </w:p>
    <w:p>
      <w:pPr>
        <w:pStyle w:val="Heading1"/>
      </w:pPr>
      <w:r>
        <w:t>8 Codex prompt continued</w:t>
      </w:r>
    </w:p>
    <w:p>
      <w:r>
        <w:t>Before live deployment, implement atomic durable quotas with a suitable shared store: 100 live attempts per UTC day and 500 per UTC month globally, plus configurable per-IP burst throttling that accounts for a shared school network. Reserve an attempt before calling the model. Fail closed if quota storage is unavailable. Do not rely on process memory or browser-only limits. Ask me to provision the chosen store if needed and explain its charges first.</w:t>
      </w:r>
    </w:p>
    <w:p>
      <w:r>
        <w:t>Add CHAT_ENABLED, default false, and a separate DEMO_MODE. Make one upstream call per submitted message; disable automatic SDK retries initially. Use a 25-second upstream timeout and compatible Vercel timeout. Handle incomplete/empty output and upstream errors. Return safe 400, 429 and 503 responses as appropriate, without secrets or raw traces. Log only operational metadata and token usage.</w:t>
      </w:r>
    </w:p>
    <w:p>
      <w:r>
        <w:t>Configure the embed route to permit the verified Google Sites ancestor chain through an HTTP CSP frame-ancestors header, with no conflicting X-Frame-Options. Do not guess that a single allowed origin will cover nested Google frames. Use same-origin /api/chat requests from the Vercel iframe; CORS and iframe restrictions are not authentication or cost protection.</w:t>
      </w:r>
    </w:p>
    <w:p>
      <w:r>
        <w:t>Provide README.md and DEPLOYMENT.md with exact steps for GitHub, Vercel import, environment variables, durable store setup, public production-domain testing, Google Sites Insert &gt; Embed, and shutdown. Explain that Vercel environment changes require a new deployment. Use a stable production domain, keep preview protection where appropriate, and never put bypass secrets in the URL. Include a privacy notice that messages go to OpenAI and estimates need checking.</w:t>
      </w:r>
    </w:p>
    <w:p>
      <w:r>
        <w:t>Run focused tests for planner behavior, invalid input, key isolation, concurrent quotas, disabled mode, quota-store failure, rate limits, timeouts and safe rendering. Run type checking, linting and a production build. Use mocked API responses for automated tests and a small, explicitly identified live smoke test once I have configured credentials. Test the actual published Google Sites embed when access is available; report any human-only checks as pending.</w:t>
      </w:r>
    </w:p>
    <w:p>
      <w:r>
        <w:t>Prepare the code locally and give me concrete review results before publication. I will handle account sign-ins, billing, connection approvals, secrets, and final publication unless I explicitly delegate those actions. Do not claim a push, deployment or embed test occurred without evidence. At handoff, give me URLs, embed instructions, setup still required, test results, estimated usage and disable/rollback steps.</w:t>
      </w:r>
    </w:p>
    <w:p>
      <w:r>
        <w:t>Project details to use or ask me for when needed:</w:t>
        <w:br/>
        <w:t>Project name: Event Planner Assistant</w:t>
        <w:br/>
        <w:t>Repository URL: [fill in]</w:t>
        <w:br/>
        <w:t>Published Google Sites URL and any custom domain: [fill in]</w:t>
        <w:br/>
        <w:t>Class rubric and approved event facts: [attach or describe]</w:t>
        <w:br/>
        <w:t>Brand colors: [optional]</w:t>
        <w:br/>
        <w:t>Demo date: [fill in]</w:t>
        <w:br/>
        <w:t>Initial API budget: USD 5 per month</w:t>
        <w:br/>
        <w:t>Publication authorization: Prepare for review first</w:t>
      </w:r>
    </w:p>
    <w:p>
      <w:r>
        <w:br w:type="page"/>
      </w:r>
    </w:p>
    <w:p>
      <w:pPr>
        <w:pStyle w:val="Heading1"/>
      </w:pPr>
      <w:r>
        <w:t>9 Troubleshooting and references</w:t>
      </w:r>
    </w:p>
    <w:p>
      <w:pPr>
        <w:pStyle w:val="Heading2"/>
      </w:pPr>
      <w:r>
        <w:t>Common problems</w:t>
      </w:r>
    </w:p>
    <w:tbl>
      <w:tblPr>
        <w:tblW w:type="auto" w:w="0"/>
        <w:tblLayout w:type="fixed"/>
        <w:tblLook w:firstColumn="1" w:firstRow="1" w:lastColumn="0" w:lastRow="0" w:noHBand="0" w:noVBand="1" w:val="04A0"/>
      </w:tblPr>
      <w:tblGrid>
        <w:gridCol w:w="2376"/>
        <w:gridCol w:w="7560"/>
      </w:tblGrid>
      <w:tr>
        <w:trPr>
          <w:cantSplit/>
          <w:tblHeader/>
        </w:trPr>
        <w:tc>
          <w:tcPr>
            <w:tcW w:type="dxa" w:w="2376"/>
            <w:tcMar>
              <w:top w:w="90" w:type="dxa"/>
              <w:left w:w="90" w:type="dxa"/>
              <w:bottom w:w="90" w:type="dxa"/>
              <w:right w:w="90" w:type="dxa"/>
            </w:tcMar>
            <w:shd w:fill="EAEAEA"/>
          </w:tcPr>
          <w:p>
            <w:pPr>
              <w:spacing w:after="60"/>
            </w:pPr>
            <w:r>
              <w:rPr>
                <w:b/>
                <w:sz w:val="20"/>
              </w:rPr>
              <w:t>Symptom</w:t>
            </w:r>
          </w:p>
        </w:tc>
        <w:tc>
          <w:tcPr>
            <w:tcW w:type="dxa" w:w="7560"/>
            <w:tcMar>
              <w:top w:w="90" w:type="dxa"/>
              <w:left w:w="90" w:type="dxa"/>
              <w:bottom w:w="90" w:type="dxa"/>
              <w:right w:w="90" w:type="dxa"/>
            </w:tcMar>
            <w:shd w:fill="EAEAEA"/>
          </w:tcPr>
          <w:p>
            <w:pPr>
              <w:spacing w:after="60"/>
            </w:pPr>
            <w:r>
              <w:rPr>
                <w:b/>
                <w:sz w:val="20"/>
              </w:rPr>
              <w:t>Check first</w:t>
            </w:r>
          </w:p>
        </w:tc>
      </w:tr>
      <w:tr>
        <w:trPr>
          <w:cantSplit/>
        </w:trPr>
        <w:tc>
          <w:tcPr>
            <w:tcW w:type="dxa" w:w="2376"/>
            <w:tcMar>
              <w:top w:w="90" w:type="dxa"/>
              <w:left w:w="90" w:type="dxa"/>
              <w:bottom w:w="90" w:type="dxa"/>
              <w:right w:w="90" w:type="dxa"/>
            </w:tcMar>
          </w:tcPr>
          <w:p>
            <w:pPr>
              <w:spacing w:after="60"/>
            </w:pPr>
            <w:r>
              <w:rPr>
                <w:b w:val="0"/>
                <w:sz w:val="20"/>
              </w:rPr>
              <w:t>Blank or refused embed</w:t>
            </w:r>
          </w:p>
        </w:tc>
        <w:tc>
          <w:tcPr>
            <w:tcW w:type="dxa" w:w="7560"/>
            <w:tcMar>
              <w:top w:w="90" w:type="dxa"/>
              <w:left w:w="90" w:type="dxa"/>
              <w:bottom w:w="90" w:type="dxa"/>
              <w:right w:w="90" w:type="dxa"/>
            </w:tcMar>
          </w:tcPr>
          <w:p>
            <w:pPr>
              <w:spacing w:after="60"/>
            </w:pPr>
            <w:r>
              <w:rPr>
                <w:b w:val="0"/>
                <w:sz w:val="20"/>
              </w:rPr>
              <w:t>Production URL works directly; CSP ancestor chain; conflicting X-Frame-Options; Sites republished.</w:t>
            </w:r>
          </w:p>
        </w:tc>
      </w:tr>
      <w:tr>
        <w:trPr>
          <w:cantSplit/>
        </w:trPr>
        <w:tc>
          <w:tcPr>
            <w:tcW w:type="dxa" w:w="2376"/>
            <w:tcMar>
              <w:top w:w="90" w:type="dxa"/>
              <w:left w:w="90" w:type="dxa"/>
              <w:bottom w:w="90" w:type="dxa"/>
              <w:right w:w="90" w:type="dxa"/>
            </w:tcMar>
          </w:tcPr>
          <w:p>
            <w:pPr>
              <w:spacing w:after="60"/>
            </w:pPr>
            <w:r>
              <w:rPr>
                <w:b w:val="0"/>
                <w:sz w:val="20"/>
              </w:rPr>
              <w:t>Vercel login screen</w:t>
            </w:r>
          </w:p>
        </w:tc>
        <w:tc>
          <w:tcPr>
            <w:tcW w:type="dxa" w:w="7560"/>
            <w:tcMar>
              <w:top w:w="90" w:type="dxa"/>
              <w:left w:w="90" w:type="dxa"/>
              <w:bottom w:w="90" w:type="dxa"/>
              <w:right w:w="90" w:type="dxa"/>
            </w:tcMar>
          </w:tcPr>
          <w:p>
            <w:pPr>
              <w:spacing w:after="60"/>
            </w:pPr>
            <w:r>
              <w:rPr>
                <w:b w:val="0"/>
                <w:sz w:val="20"/>
              </w:rPr>
              <w:t>Use the public production domain and review protection scope; do not expose a bypass token.</w:t>
            </w:r>
          </w:p>
        </w:tc>
      </w:tr>
      <w:tr>
        <w:trPr>
          <w:cantSplit/>
        </w:trPr>
        <w:tc>
          <w:tcPr>
            <w:tcW w:type="dxa" w:w="2376"/>
            <w:tcMar>
              <w:top w:w="90" w:type="dxa"/>
              <w:left w:w="90" w:type="dxa"/>
              <w:bottom w:w="90" w:type="dxa"/>
              <w:right w:w="90" w:type="dxa"/>
            </w:tcMar>
          </w:tcPr>
          <w:p>
            <w:pPr>
              <w:spacing w:after="60"/>
            </w:pPr>
            <w:r>
              <w:rPr>
                <w:b w:val="0"/>
                <w:sz w:val="20"/>
              </w:rPr>
              <w:t>API key or model error</w:t>
            </w:r>
          </w:p>
        </w:tc>
        <w:tc>
          <w:tcPr>
            <w:tcW w:type="dxa" w:w="7560"/>
            <w:tcMar>
              <w:top w:w="90" w:type="dxa"/>
              <w:left w:w="90" w:type="dxa"/>
              <w:bottom w:w="90" w:type="dxa"/>
              <w:right w:w="90" w:type="dxa"/>
            </w:tcMar>
          </w:tcPr>
          <w:p>
            <w:pPr>
              <w:spacing w:after="60"/>
            </w:pPr>
            <w:r>
              <w:rPr>
                <w:b w:val="0"/>
                <w:sz w:val="20"/>
              </w:rPr>
              <w:t>Correct project key, model access and environment scope; redeploy after updating variables.</w:t>
            </w:r>
          </w:p>
        </w:tc>
      </w:tr>
      <w:tr>
        <w:trPr>
          <w:cantSplit/>
        </w:trPr>
        <w:tc>
          <w:tcPr>
            <w:tcW w:type="dxa" w:w="2376"/>
            <w:tcMar>
              <w:top w:w="90" w:type="dxa"/>
              <w:left w:w="90" w:type="dxa"/>
              <w:bottom w:w="90" w:type="dxa"/>
              <w:right w:w="90" w:type="dxa"/>
            </w:tcMar>
          </w:tcPr>
          <w:p>
            <w:pPr>
              <w:spacing w:after="60"/>
            </w:pPr>
            <w:r>
              <w:rPr>
                <w:b w:val="0"/>
                <w:sz w:val="20"/>
              </w:rPr>
              <w:t>Limit reached</w:t>
            </w:r>
          </w:p>
        </w:tc>
        <w:tc>
          <w:tcPr>
            <w:tcW w:type="dxa" w:w="7560"/>
            <w:tcMar>
              <w:top w:w="90" w:type="dxa"/>
              <w:left w:w="90" w:type="dxa"/>
              <w:bottom w:w="90" w:type="dxa"/>
              <w:right w:w="90" w:type="dxa"/>
            </w:tcMar>
          </w:tcPr>
          <w:p>
            <w:pPr>
              <w:spacing w:after="60"/>
            </w:pPr>
            <w:r>
              <w:rPr>
                <w:b w:val="0"/>
                <w:sz w:val="20"/>
              </w:rPr>
              <w:t>Distinguish app quota, provider rate limit, spend cap and billing balance. Do not automatically raise limits.</w:t>
            </w:r>
          </w:p>
        </w:tc>
      </w:tr>
      <w:tr>
        <w:trPr>
          <w:cantSplit/>
        </w:trPr>
        <w:tc>
          <w:tcPr>
            <w:tcW w:type="dxa" w:w="2376"/>
            <w:tcMar>
              <w:top w:w="90" w:type="dxa"/>
              <w:left w:w="90" w:type="dxa"/>
              <w:bottom w:w="90" w:type="dxa"/>
              <w:right w:w="90" w:type="dxa"/>
            </w:tcMar>
          </w:tcPr>
          <w:p>
            <w:pPr>
              <w:spacing w:after="60"/>
            </w:pPr>
            <w:r>
              <w:rPr>
                <w:b w:val="0"/>
                <w:sz w:val="20"/>
              </w:rPr>
              <w:t>Works locally only</w:t>
            </w:r>
          </w:p>
        </w:tc>
        <w:tc>
          <w:tcPr>
            <w:tcW w:type="dxa" w:w="7560"/>
            <w:tcMar>
              <w:top w:w="90" w:type="dxa"/>
              <w:left w:w="90" w:type="dxa"/>
              <w:bottom w:w="90" w:type="dxa"/>
              <w:right w:w="90" w:type="dxa"/>
            </w:tcMar>
          </w:tcPr>
          <w:p>
            <w:pPr>
              <w:spacing w:after="60"/>
            </w:pPr>
            <w:r>
              <w:rPr>
                <w:b w:val="0"/>
                <w:sz w:val="20"/>
              </w:rPr>
              <w:t>Node/build configuration, production secrets, quota store, server timeout and safe Vercel logs.</w:t>
            </w:r>
          </w:p>
        </w:tc>
      </w:tr>
      <w:tr>
        <w:trPr>
          <w:cantSplit/>
        </w:trPr>
        <w:tc>
          <w:tcPr>
            <w:tcW w:type="dxa" w:w="2376"/>
            <w:tcMar>
              <w:top w:w="90" w:type="dxa"/>
              <w:left w:w="90" w:type="dxa"/>
              <w:bottom w:w="90" w:type="dxa"/>
              <w:right w:w="90" w:type="dxa"/>
            </w:tcMar>
          </w:tcPr>
          <w:p>
            <w:pPr>
              <w:spacing w:after="60"/>
            </w:pPr>
            <w:r>
              <w:rPr>
                <w:b w:val="0"/>
                <w:sz w:val="20"/>
              </w:rPr>
              <w:t>Copy or sizing fails</w:t>
            </w:r>
          </w:p>
        </w:tc>
        <w:tc>
          <w:tcPr>
            <w:tcW w:type="dxa" w:w="7560"/>
            <w:tcMar>
              <w:top w:w="90" w:type="dxa"/>
              <w:left w:w="90" w:type="dxa"/>
              <w:bottom w:w="90" w:type="dxa"/>
              <w:right w:w="90" w:type="dxa"/>
            </w:tcMar>
          </w:tcPr>
          <w:p>
            <w:pPr>
              <w:spacing w:after="60"/>
            </w:pPr>
            <w:r>
              <w:rPr>
                <w:b w:val="0"/>
                <w:sz w:val="20"/>
              </w:rPr>
              <w:t>Use text-selection fallback; resize the Sites block; test mobile and standalone link.</w:t>
            </w:r>
          </w:p>
        </w:tc>
      </w:tr>
    </w:tbl>
    <w:p>
      <w:pPr>
        <w:pStyle w:val="Heading2"/>
      </w:pPr>
      <w:r>
        <w:t>Primary references</w:t>
      </w:r>
    </w:p>
    <w:p>
      <w:r>
        <w:t>Documentation checked 11 October 2026. UI labels, model availability and pricing may change. The numeric application limits in this guide are proposed project settings, not provider limits.</w:t>
      </w:r>
    </w:p>
    <w:p>
      <w:pPr>
        <w:spacing w:after="100"/>
      </w:pPr>
      <w:hyperlink r:id="rId10">
        <w:r>
          <w:rPr>
            <w:color w:val="155A8A"/>
            <w:sz w:val="20"/>
          </w:rPr>
          <w:t>1 OpenAI GPT 5.6 Luna model and pricing</w:t>
        </w:r>
      </w:hyperlink>
    </w:p>
    <w:p>
      <w:pPr>
        <w:spacing w:after="100"/>
      </w:pPr>
      <w:hyperlink r:id="rId11">
        <w:r>
          <w:rPr>
            <w:color w:val="155A8A"/>
            <w:sz w:val="20"/>
          </w:rPr>
          <w:t>2 OpenAI spend limits and enforcement</w:t>
        </w:r>
      </w:hyperlink>
    </w:p>
    <w:p>
      <w:pPr>
        <w:spacing w:after="100"/>
      </w:pPr>
      <w:hyperlink r:id="rId12">
        <w:r>
          <w:rPr>
            <w:color w:val="155A8A"/>
            <w:sz w:val="20"/>
          </w:rPr>
          <w:t>3 OpenAI production practices</w:t>
        </w:r>
      </w:hyperlink>
    </w:p>
    <w:p>
      <w:pPr>
        <w:spacing w:after="100"/>
      </w:pPr>
      <w:hyperlink r:id="rId13">
        <w:r>
          <w:rPr>
            <w:color w:val="155A8A"/>
            <w:sz w:val="20"/>
          </w:rPr>
          <w:t>4 Google Sites embedding instructions</w:t>
        </w:r>
      </w:hyperlink>
    </w:p>
    <w:p>
      <w:pPr>
        <w:spacing w:after="100"/>
      </w:pPr>
      <w:hyperlink r:id="rId14">
        <w:r>
          <w:rPr>
            <w:color w:val="155A8A"/>
            <w:sz w:val="20"/>
          </w:rPr>
          <w:t>5 Vercel GitHub integration</w:t>
        </w:r>
      </w:hyperlink>
    </w:p>
    <w:p>
      <w:pPr>
        <w:spacing w:after="100"/>
      </w:pPr>
      <w:hyperlink r:id="rId15">
        <w:r>
          <w:rPr>
            <w:color w:val="155A8A"/>
            <w:sz w:val="20"/>
          </w:rPr>
          <w:t>6 Vercel environment variables</w:t>
        </w:r>
      </w:hyperlink>
    </w:p>
    <w:p>
      <w:pPr>
        <w:spacing w:after="100"/>
      </w:pPr>
      <w:hyperlink r:id="rId16">
        <w:r>
          <w:rPr>
            <w:color w:val="155A8A"/>
            <w:sz w:val="20"/>
          </w:rPr>
          <w:t>7 Vercel deployment protection</w:t>
        </w:r>
      </w:hyperlink>
    </w:p>
    <w:p>
      <w:pPr>
        <w:spacing w:after="100"/>
      </w:pPr>
      <w:hyperlink r:id="rId17">
        <w:r>
          <w:rPr>
            <w:color w:val="155A8A"/>
            <w:sz w:val="20"/>
          </w:rPr>
          <w:t>8 MDN frame ancestors and nested frames</w:t>
        </w:r>
      </w:hyperlink>
    </w:p>
    <w:p>
      <w:pPr>
        <w:spacing w:after="100"/>
      </w:pPr>
      <w:hyperlink r:id="rId18">
        <w:r>
          <w:rPr>
            <w:color w:val="155A8A"/>
            <w:sz w:val="20"/>
          </w:rPr>
          <w:t>9 Vercel Hobby plan</w:t>
        </w:r>
      </w:hyperlink>
    </w:p>
    <w:p>
      <w:pPr>
        <w:spacing w:after="100"/>
      </w:pPr>
      <w:hyperlink r:id="rId19">
        <w:r>
          <w:rPr>
            <w:color w:val="155A8A"/>
            <w:sz w:val="20"/>
          </w:rPr>
          <w:t>10 OpenAI text generation</w:t>
        </w:r>
      </w:hyperlink>
    </w:p>
    <w:p>
      <w:pPr>
        <w:spacing w:after="100"/>
      </w:pPr>
      <w:hyperlink r:id="rId20">
        <w:r>
          <w:rPr>
            <w:color w:val="155A8A"/>
            <w:sz w:val="20"/>
          </w:rPr>
          <w:t>11 OpenAI data controls</w:t>
        </w:r>
      </w:hyperlink>
    </w:p>
    <w:p>
      <w:pPr>
        <w:spacing w:after="100"/>
      </w:pPr>
      <w:hyperlink r:id="rId21">
        <w:r>
          <w:rPr>
            <w:color w:val="155A8A"/>
            <w:sz w:val="20"/>
          </w:rPr>
          <w:t>12 OpenAI GPT 5.4 nano model and pricing</w:t>
        </w:r>
      </w:hyperlink>
    </w:p>
    <w:p>
      <w:pPr>
        <w:spacing w:after="100"/>
      </w:pPr>
      <w:hyperlink r:id="rId22">
        <w:r>
          <w:rPr>
            <w:color w:val="155A8A"/>
            <w:sz w:val="20"/>
          </w:rPr>
          <w:t>13 OpenAI GPT 5 nano model status</w:t>
        </w:r>
      </w:hyperlink>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Implementation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openai.com/api/docs/models/gpt-5.6-luna" TargetMode="External"/><Relationship Id="rId11" Type="http://schemas.openxmlformats.org/officeDocument/2006/relationships/hyperlink" Target="https://developers.openai.com/api/docs/guides/spend-limits" TargetMode="External"/><Relationship Id="rId12" Type="http://schemas.openxmlformats.org/officeDocument/2006/relationships/hyperlink" Target="https://developers.openai.com/api/docs/guides/production-best-practices" TargetMode="External"/><Relationship Id="rId13" Type="http://schemas.openxmlformats.org/officeDocument/2006/relationships/hyperlink" Target="https://support.google.com/sites/answer/90569?hl=en" TargetMode="External"/><Relationship Id="rId14" Type="http://schemas.openxmlformats.org/officeDocument/2006/relationships/hyperlink" Target="https://vercel.com/docs/git/vercel-for-github" TargetMode="External"/><Relationship Id="rId15" Type="http://schemas.openxmlformats.org/officeDocument/2006/relationships/hyperlink" Target="https://vercel.com/docs/environment-variables" TargetMode="External"/><Relationship Id="rId16" Type="http://schemas.openxmlformats.org/officeDocument/2006/relationships/hyperlink" Target="https://vercel.com/docs/deployment-protection" TargetMode="External"/><Relationship Id="rId17" Type="http://schemas.openxmlformats.org/officeDocument/2006/relationships/hyperlink" Target="https://developer.mozilla.org/en-US/docs/Web/HTTP/Reference/Headers/Content-Security-Policy/frame-ancestors" TargetMode="External"/><Relationship Id="rId18" Type="http://schemas.openxmlformats.org/officeDocument/2006/relationships/hyperlink" Target="https://vercel.com/docs/plans/hobby" TargetMode="External"/><Relationship Id="rId19" Type="http://schemas.openxmlformats.org/officeDocument/2006/relationships/hyperlink" Target="https://developers.openai.com/api/docs/guides/text" TargetMode="External"/><Relationship Id="rId20" Type="http://schemas.openxmlformats.org/officeDocument/2006/relationships/hyperlink" Target="https://developers.openai.com/api/docs/guides/your-data" TargetMode="External"/><Relationship Id="rId21" Type="http://schemas.openxmlformats.org/officeDocument/2006/relationships/hyperlink" Target="https://developers.openai.com/api/docs/models/gpt-5.4-nano" TargetMode="External"/><Relationship Id="rId22" Type="http://schemas.openxmlformats.org/officeDocument/2006/relationships/hyperlink" Target="https://developers.openai.com/api/docs/models/gpt-5-n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Sites AI event planner</dc:title>
  <dc:subject>Codex implementation guide for a school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