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31C36E">
      <w:pPr>
        <w:jc w:val="center"/>
        <w:rPr>
          <w:rFonts w:hint="eastAsia" w:ascii="楷体" w:hAnsi="楷体" w:eastAsia="楷体" w:cs="楷体"/>
          <w:color w:val="080706"/>
          <w:spacing w:val="-20"/>
          <w:w w:val="97"/>
          <w:sz w:val="32"/>
          <w:szCs w:val="32"/>
        </w:rPr>
      </w:pPr>
      <w:r>
        <w:rPr>
          <w:rFonts w:hint="eastAsia" w:ascii="楷体" w:hAnsi="楷体" w:eastAsia="楷体" w:cs="楷体"/>
          <w:color w:val="080706"/>
          <w:spacing w:val="-20"/>
          <w:w w:val="97"/>
          <w:sz w:val="32"/>
          <w:szCs w:val="32"/>
        </w:rPr>
        <w:t>合</w:t>
      </w:r>
      <w:r>
        <w:rPr>
          <w:rFonts w:hint="eastAsia" w:ascii="楷体" w:hAnsi="楷体" w:eastAsia="楷体" w:cs="楷体"/>
          <w:color w:val="080706"/>
          <w:spacing w:val="-20"/>
          <w:w w:val="97"/>
          <w:sz w:val="32"/>
          <w:szCs w:val="32"/>
          <w:lang w:val="en-US" w:eastAsia="zh-CN"/>
        </w:rPr>
        <w:t xml:space="preserve"> </w:t>
      </w:r>
      <w:r>
        <w:rPr>
          <w:rFonts w:hint="eastAsia" w:ascii="楷体" w:hAnsi="楷体" w:eastAsia="楷体" w:cs="楷体"/>
          <w:color w:val="080706"/>
          <w:spacing w:val="-20"/>
          <w:w w:val="97"/>
          <w:sz w:val="32"/>
          <w:szCs w:val="32"/>
        </w:rPr>
        <w:t>合</w:t>
      </w:r>
      <w:r>
        <w:rPr>
          <w:rFonts w:hint="eastAsia" w:ascii="楷体" w:hAnsi="楷体" w:eastAsia="楷体" w:cs="楷体"/>
          <w:color w:val="080706"/>
          <w:spacing w:val="-20"/>
          <w:w w:val="97"/>
          <w:sz w:val="32"/>
          <w:szCs w:val="32"/>
          <w:lang w:val="en-US" w:eastAsia="zh-CN"/>
        </w:rPr>
        <w:t xml:space="preserve"> </w:t>
      </w:r>
      <w:r>
        <w:rPr>
          <w:rFonts w:hint="eastAsia" w:ascii="楷体" w:hAnsi="楷体" w:eastAsia="楷体" w:cs="楷体"/>
          <w:color w:val="080706"/>
          <w:spacing w:val="-20"/>
          <w:w w:val="97"/>
          <w:sz w:val="32"/>
          <w:szCs w:val="32"/>
        </w:rPr>
        <w:t>信 息</w:t>
      </w:r>
      <w:r>
        <w:rPr>
          <w:rFonts w:hint="eastAsia" w:ascii="楷体" w:hAnsi="楷体" w:eastAsia="楷体" w:cs="楷体"/>
          <w:color w:val="080706"/>
          <w:spacing w:val="-20"/>
          <w:w w:val="97"/>
          <w:sz w:val="32"/>
          <w:szCs w:val="32"/>
          <w:lang w:val="en-US" w:eastAsia="zh-CN"/>
        </w:rPr>
        <w:t xml:space="preserve"> </w:t>
      </w:r>
      <w:r>
        <w:rPr>
          <w:rFonts w:hint="eastAsia" w:ascii="楷体" w:hAnsi="楷体" w:eastAsia="楷体" w:cs="楷体"/>
          <w:color w:val="080706"/>
          <w:spacing w:val="-20"/>
          <w:w w:val="97"/>
          <w:sz w:val="32"/>
          <w:szCs w:val="32"/>
        </w:rPr>
        <w:t>采</w:t>
      </w:r>
      <w:r>
        <w:rPr>
          <w:rFonts w:hint="eastAsia" w:ascii="楷体" w:hAnsi="楷体" w:eastAsia="楷体" w:cs="楷体"/>
          <w:color w:val="080706"/>
          <w:spacing w:val="-20"/>
          <w:w w:val="97"/>
          <w:sz w:val="32"/>
          <w:szCs w:val="32"/>
          <w:lang w:val="en-US" w:eastAsia="zh-CN"/>
        </w:rPr>
        <w:t xml:space="preserve"> </w:t>
      </w:r>
      <w:r>
        <w:rPr>
          <w:rFonts w:hint="eastAsia" w:ascii="楷体" w:hAnsi="楷体" w:eastAsia="楷体" w:cs="楷体"/>
          <w:color w:val="080706"/>
          <w:spacing w:val="-20"/>
          <w:w w:val="97"/>
          <w:sz w:val="32"/>
          <w:szCs w:val="32"/>
        </w:rPr>
        <w:t>购 合 同</w:t>
      </w:r>
    </w:p>
    <w:p w14:paraId="4BA38B08">
      <w:pPr>
        <w:jc w:val="center"/>
        <w:rPr>
          <w:rFonts w:hint="eastAsia" w:ascii="楷体" w:hAnsi="楷体" w:eastAsia="楷体" w:cs="楷体"/>
          <w:color w:val="080706"/>
          <w:spacing w:val="-20"/>
          <w:w w:val="97"/>
          <w:sz w:val="32"/>
          <w:szCs w:val="32"/>
        </w:rPr>
      </w:pPr>
    </w:p>
    <w:p w14:paraId="40FB18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r>
        <w:rPr>
          <w:rFonts w:hint="eastAsia" w:ascii="楷体" w:hAnsi="楷体" w:eastAsia="楷体" w:cs="楷体"/>
          <w:color w:val="080706"/>
          <w:spacing w:val="-20"/>
          <w:w w:val="97"/>
          <w:sz w:val="24"/>
          <w:szCs w:val="24"/>
        </w:rPr>
        <w:t>甲方： 上海合合信息科技股份有限公司</w:t>
      </w:r>
    </w:p>
    <w:p w14:paraId="3FFF03E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r>
        <w:rPr>
          <w:rFonts w:hint="eastAsia" w:ascii="楷体" w:hAnsi="楷体" w:eastAsia="楷体" w:cs="楷体"/>
          <w:color w:val="080706"/>
          <w:spacing w:val="-20"/>
          <w:w w:val="97"/>
          <w:sz w:val="24"/>
          <w:szCs w:val="24"/>
        </w:rPr>
        <w:t xml:space="preserve">地址： 上海市静安区万荣路 1268 号云立方 </w:t>
      </w:r>
      <w:r>
        <w:rPr>
          <w:rFonts w:hint="eastAsia" w:ascii="楷体" w:hAnsi="楷体" w:eastAsia="楷体" w:cs="楷体"/>
          <w:color w:val="080706"/>
          <w:spacing w:val="-20"/>
          <w:w w:val="97"/>
          <w:sz w:val="24"/>
          <w:szCs w:val="24"/>
          <w:lang w:val="en-US" w:eastAsia="zh-CN"/>
        </w:rPr>
        <w:t>A</w:t>
      </w:r>
      <w:r>
        <w:rPr>
          <w:rFonts w:hint="eastAsia" w:ascii="楷体" w:hAnsi="楷体" w:eastAsia="楷体" w:cs="楷体"/>
          <w:color w:val="080706"/>
          <w:spacing w:val="-20"/>
          <w:w w:val="97"/>
          <w:sz w:val="24"/>
          <w:szCs w:val="24"/>
        </w:rPr>
        <w:t>座 11 层</w:t>
      </w:r>
    </w:p>
    <w:p w14:paraId="110F59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r>
        <w:rPr>
          <w:rFonts w:hint="eastAsia" w:ascii="楷体" w:hAnsi="楷体" w:eastAsia="楷体" w:cs="楷体"/>
          <w:color w:val="080706"/>
          <w:spacing w:val="-20"/>
          <w:w w:val="97"/>
          <w:sz w:val="24"/>
          <w:szCs w:val="24"/>
        </w:rPr>
        <w:t>乙方：上 海一二三有限公司</w:t>
      </w:r>
    </w:p>
    <w:p w14:paraId="28F0298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r>
        <w:rPr>
          <w:rFonts w:hint="eastAsia" w:ascii="楷体" w:hAnsi="楷体" w:eastAsia="楷体" w:cs="楷体"/>
          <w:color w:val="080706"/>
          <w:spacing w:val="-20"/>
          <w:w w:val="97"/>
          <w:sz w:val="24"/>
          <w:szCs w:val="24"/>
        </w:rPr>
        <w:t>地址：上海市延安东路1111号</w:t>
      </w:r>
    </w:p>
    <w:p w14:paraId="692BBA6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p>
    <w:p w14:paraId="2E82126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p>
    <w:p w14:paraId="778230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80706"/>
          <w:spacing w:val="-20"/>
          <w:w w:val="97"/>
          <w:sz w:val="24"/>
          <w:szCs w:val="24"/>
        </w:rPr>
      </w:pPr>
    </w:p>
    <w:p w14:paraId="226AC784">
      <w:pPr>
        <w:keepNext w:val="0"/>
        <w:keepLines w:val="0"/>
        <w:pageBreakBefore w:val="0"/>
        <w:widowControl w:val="0"/>
        <w:kinsoku/>
        <w:wordWrap/>
        <w:overflowPunct/>
        <w:topLinePunct w:val="0"/>
        <w:autoSpaceDE/>
        <w:autoSpaceDN/>
        <w:bidi w:val="0"/>
        <w:adjustRightInd/>
        <w:snapToGrid/>
        <w:spacing w:line="360" w:lineRule="auto"/>
        <w:ind w:firstLine="384" w:firstLineChars="200"/>
        <w:jc w:val="left"/>
        <w:textAlignment w:val="auto"/>
        <w:rPr>
          <w:rFonts w:hint="eastAsia" w:ascii="楷体" w:hAnsi="楷体" w:eastAsia="楷体" w:cs="楷体"/>
          <w:color w:val="080706"/>
          <w:spacing w:val="-20"/>
          <w:w w:val="97"/>
          <w:sz w:val="24"/>
          <w:szCs w:val="24"/>
          <w:lang w:eastAsia="zh-CN"/>
        </w:rPr>
      </w:pPr>
      <w:r>
        <w:rPr>
          <w:rFonts w:hint="eastAsia" w:ascii="楷体" w:hAnsi="楷体" w:eastAsia="楷体" w:cs="楷体"/>
          <w:color w:val="080706"/>
          <w:spacing w:val="-20"/>
          <w:w w:val="97"/>
          <w:sz w:val="24"/>
          <w:szCs w:val="24"/>
        </w:rPr>
        <w:t>根据《中华人民共和国民法典》等有关法律、法规之规定， 甲乙双方本着真诚合作、平等互利、 共同发展原则，经过友好协商，于</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2025</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年</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9</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 xml:space="preserve">月 </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2</w:t>
      </w:r>
      <w:r>
        <w:rPr>
          <w:rFonts w:hint="eastAsia" w:ascii="楷体" w:hAnsi="楷体" w:eastAsia="楷体" w:cs="楷体"/>
          <w:color w:val="080706"/>
          <w:spacing w:val="-20"/>
          <w:w w:val="97"/>
          <w:sz w:val="24"/>
          <w:szCs w:val="24"/>
          <w:lang w:val="en-US" w:eastAsia="zh-CN"/>
        </w:rPr>
        <w:t>5</w:t>
      </w:r>
      <w:r>
        <w:rPr>
          <w:rFonts w:hint="eastAsia" w:ascii="楷体" w:hAnsi="楷体" w:eastAsia="楷体" w:cs="楷体"/>
          <w:color w:val="080706"/>
          <w:spacing w:val="-20"/>
          <w:w w:val="97"/>
          <w:sz w:val="24"/>
          <w:szCs w:val="24"/>
          <w:lang w:eastAsia="zh-CN"/>
        </w:rPr>
        <w:t>】</w:t>
      </w:r>
      <w:r>
        <w:rPr>
          <w:rFonts w:hint="eastAsia" w:ascii="楷体" w:hAnsi="楷体" w:eastAsia="楷体" w:cs="楷体"/>
          <w:color w:val="080706"/>
          <w:spacing w:val="-20"/>
          <w:w w:val="97"/>
          <w:sz w:val="24"/>
          <w:szCs w:val="24"/>
        </w:rPr>
        <w:t xml:space="preserve"> 日在上海市静安区签订本合同 ，并共同遵守下列条款 </w:t>
      </w:r>
      <w:r>
        <w:rPr>
          <w:rFonts w:hint="eastAsia" w:ascii="楷体" w:hAnsi="楷体" w:eastAsia="楷体" w:cs="楷体"/>
          <w:color w:val="080706"/>
          <w:spacing w:val="-20"/>
          <w:w w:val="97"/>
          <w:sz w:val="24"/>
          <w:szCs w:val="24"/>
          <w:lang w:eastAsia="zh-CN"/>
        </w:rPr>
        <w:t>。</w:t>
      </w:r>
    </w:p>
    <w:p w14:paraId="18965434">
      <w:pPr>
        <w:pStyle w:val="2"/>
        <w:spacing w:before="65" w:line="180" w:lineRule="auto"/>
        <w:rPr>
          <w:rFonts w:hint="eastAsia" w:ascii="楷体" w:hAnsi="楷体" w:eastAsia="楷体" w:cs="楷体"/>
          <w:color w:val="0B0B0B"/>
          <w:spacing w:val="-8"/>
          <w:w w:val="94"/>
          <w:sz w:val="24"/>
          <w:szCs w:val="24"/>
        </w:rPr>
      </w:pPr>
      <w:r>
        <w:rPr>
          <w:rFonts w:hint="eastAsia" w:ascii="楷体" w:hAnsi="楷体" w:eastAsia="楷体" w:cs="楷体"/>
          <w:color w:val="0B0B0B"/>
          <w:spacing w:val="-8"/>
          <w:w w:val="94"/>
          <w:sz w:val="24"/>
          <w:szCs w:val="24"/>
        </w:rPr>
        <w:t>一</w:t>
      </w:r>
      <w:r>
        <w:rPr>
          <w:rFonts w:hint="eastAsia" w:ascii="楷体" w:hAnsi="楷体" w:eastAsia="楷体" w:cs="楷体"/>
          <w:color w:val="0B0B0B"/>
          <w:spacing w:val="-39"/>
          <w:sz w:val="24"/>
          <w:szCs w:val="24"/>
        </w:rPr>
        <w:t xml:space="preserve"> </w:t>
      </w:r>
      <w:r>
        <w:rPr>
          <w:rFonts w:hint="eastAsia" w:ascii="楷体" w:hAnsi="楷体" w:eastAsia="楷体" w:cs="楷体"/>
          <w:color w:val="0B0B0B"/>
          <w:spacing w:val="-8"/>
          <w:w w:val="94"/>
          <w:sz w:val="24"/>
          <w:szCs w:val="24"/>
        </w:rPr>
        <w:t>、采购清单及价格</w:t>
      </w:r>
      <w:bookmarkStart w:id="0" w:name="_GoBack"/>
      <w:bookmarkEnd w:id="0"/>
    </w:p>
    <w:p w14:paraId="7F26F014">
      <w:pPr>
        <w:pStyle w:val="2"/>
        <w:spacing w:before="65" w:line="180" w:lineRule="auto"/>
        <w:rPr>
          <w:rFonts w:hint="eastAsia" w:ascii="楷体" w:hAnsi="楷体" w:eastAsia="楷体" w:cs="楷体"/>
          <w:color w:val="0B0B0B"/>
          <w:spacing w:val="-8"/>
          <w:w w:val="94"/>
          <w:sz w:val="24"/>
          <w:szCs w:val="24"/>
        </w:rPr>
      </w:pPr>
    </w:p>
    <w:p w14:paraId="012E0A83">
      <w:pPr>
        <w:pStyle w:val="2"/>
        <w:spacing w:before="65" w:line="180" w:lineRule="auto"/>
        <w:rPr>
          <w:rFonts w:hint="eastAsia" w:ascii="楷体" w:hAnsi="楷体" w:eastAsia="楷体" w:cs="楷体"/>
          <w:color w:val="0B0B0B"/>
          <w:spacing w:val="-8"/>
          <w:w w:val="94"/>
          <w:sz w:val="24"/>
          <w:szCs w:val="24"/>
        </w:rPr>
      </w:pPr>
    </w:p>
    <w:p w14:paraId="43FD5EEA">
      <w:pPr>
        <w:pStyle w:val="2"/>
        <w:spacing w:before="65" w:line="180" w:lineRule="auto"/>
        <w:rPr>
          <w:rFonts w:hint="eastAsia" w:ascii="楷体" w:hAnsi="楷体" w:eastAsia="楷体" w:cs="楷体"/>
          <w:color w:val="0B0B0B"/>
          <w:spacing w:val="-8"/>
          <w:w w:val="94"/>
          <w:sz w:val="24"/>
          <w:szCs w:val="24"/>
        </w:rPr>
      </w:pPr>
    </w:p>
    <w:p w14:paraId="11C67E34">
      <w:pPr>
        <w:pStyle w:val="2"/>
        <w:spacing w:before="65" w:line="180" w:lineRule="auto"/>
        <w:rPr>
          <w:rFonts w:hint="eastAsia" w:ascii="楷体" w:hAnsi="楷体" w:eastAsia="楷体" w:cs="楷体"/>
          <w:color w:val="0B0B0B"/>
          <w:spacing w:val="-8"/>
          <w:w w:val="94"/>
          <w:sz w:val="24"/>
          <w:szCs w:val="24"/>
        </w:rPr>
      </w:pPr>
    </w:p>
    <w:p w14:paraId="4EA7AE8E">
      <w:pPr>
        <w:pStyle w:val="2"/>
        <w:spacing w:before="65" w:line="180" w:lineRule="auto"/>
        <w:rPr>
          <w:rFonts w:hint="eastAsia" w:ascii="楷体" w:hAnsi="楷体" w:eastAsia="楷体" w:cs="楷体"/>
          <w:color w:val="0B0B0B"/>
          <w:spacing w:val="-8"/>
          <w:w w:val="94"/>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8"/>
        <w:gridCol w:w="2522"/>
        <w:gridCol w:w="1234"/>
        <w:gridCol w:w="1148"/>
        <w:gridCol w:w="1235"/>
        <w:gridCol w:w="1235"/>
      </w:tblGrid>
      <w:tr w14:paraId="54FA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shd w:val="clear" w:color="auto" w:fill="CFCECE" w:themeFill="background2" w:themeFillShade="E5"/>
          </w:tcPr>
          <w:p w14:paraId="15261931">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产品</w:t>
            </w:r>
          </w:p>
        </w:tc>
        <w:tc>
          <w:tcPr>
            <w:tcW w:w="2522" w:type="dxa"/>
            <w:tcBorders>
              <w:top w:val="nil"/>
              <w:left w:val="nil"/>
              <w:bottom w:val="nil"/>
              <w:right w:val="nil"/>
            </w:tcBorders>
            <w:shd w:val="clear" w:color="auto" w:fill="CFCECE" w:themeFill="background2" w:themeFillShade="E5"/>
          </w:tcPr>
          <w:p w14:paraId="56A6CDE1">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产品型号</w:t>
            </w:r>
          </w:p>
        </w:tc>
        <w:tc>
          <w:tcPr>
            <w:tcW w:w="1234" w:type="dxa"/>
            <w:tcBorders>
              <w:top w:val="nil"/>
              <w:left w:val="nil"/>
              <w:bottom w:val="nil"/>
              <w:right w:val="nil"/>
            </w:tcBorders>
            <w:shd w:val="clear" w:color="auto" w:fill="CFCECE" w:themeFill="background2" w:themeFillShade="E5"/>
          </w:tcPr>
          <w:p w14:paraId="53765DCE">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单价</w:t>
            </w:r>
          </w:p>
        </w:tc>
        <w:tc>
          <w:tcPr>
            <w:tcW w:w="1148" w:type="dxa"/>
            <w:tcBorders>
              <w:top w:val="nil"/>
              <w:left w:val="nil"/>
              <w:bottom w:val="nil"/>
              <w:right w:val="nil"/>
            </w:tcBorders>
            <w:shd w:val="clear" w:color="auto" w:fill="CFCECE" w:themeFill="background2" w:themeFillShade="E5"/>
          </w:tcPr>
          <w:p w14:paraId="4725F7B9">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数量</w:t>
            </w:r>
          </w:p>
        </w:tc>
        <w:tc>
          <w:tcPr>
            <w:tcW w:w="1235" w:type="dxa"/>
            <w:tcBorders>
              <w:top w:val="nil"/>
              <w:left w:val="nil"/>
              <w:bottom w:val="nil"/>
              <w:right w:val="nil"/>
            </w:tcBorders>
            <w:shd w:val="clear" w:color="auto" w:fill="CFCECE" w:themeFill="background2" w:themeFillShade="E5"/>
          </w:tcPr>
          <w:p w14:paraId="0F55B674">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金额</w:t>
            </w:r>
          </w:p>
        </w:tc>
        <w:tc>
          <w:tcPr>
            <w:tcW w:w="1235" w:type="dxa"/>
            <w:tcBorders>
              <w:top w:val="nil"/>
              <w:left w:val="nil"/>
              <w:bottom w:val="nil"/>
              <w:right w:val="nil"/>
            </w:tcBorders>
            <w:shd w:val="clear" w:color="auto" w:fill="CFCECE" w:themeFill="background2" w:themeFillShade="E5"/>
          </w:tcPr>
          <w:p w14:paraId="6DA0AED6">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质保期</w:t>
            </w:r>
          </w:p>
        </w:tc>
      </w:tr>
      <w:tr w14:paraId="3282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tcPr>
          <w:p w14:paraId="35C9A8BA">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交换机</w:t>
            </w:r>
          </w:p>
        </w:tc>
        <w:tc>
          <w:tcPr>
            <w:tcW w:w="2522" w:type="dxa"/>
            <w:tcBorders>
              <w:top w:val="nil"/>
              <w:left w:val="nil"/>
              <w:bottom w:val="nil"/>
              <w:right w:val="nil"/>
            </w:tcBorders>
          </w:tcPr>
          <w:p w14:paraId="315207E8">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rPr>
              <w:t>RG-S6510-48VS8CQ</w:t>
            </w:r>
          </w:p>
        </w:tc>
        <w:tc>
          <w:tcPr>
            <w:tcW w:w="1234" w:type="dxa"/>
            <w:tcBorders>
              <w:top w:val="nil"/>
              <w:left w:val="nil"/>
              <w:bottom w:val="nil"/>
              <w:right w:val="nil"/>
            </w:tcBorders>
          </w:tcPr>
          <w:p w14:paraId="10E00420">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29100</w:t>
            </w:r>
          </w:p>
        </w:tc>
        <w:tc>
          <w:tcPr>
            <w:tcW w:w="1148" w:type="dxa"/>
            <w:tcBorders>
              <w:top w:val="nil"/>
              <w:left w:val="nil"/>
              <w:bottom w:val="nil"/>
              <w:right w:val="nil"/>
            </w:tcBorders>
          </w:tcPr>
          <w:p w14:paraId="4CEAD39D">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w:t>
            </w:r>
          </w:p>
        </w:tc>
        <w:tc>
          <w:tcPr>
            <w:tcW w:w="1235" w:type="dxa"/>
            <w:tcBorders>
              <w:top w:val="nil"/>
              <w:left w:val="nil"/>
              <w:bottom w:val="nil"/>
              <w:right w:val="nil"/>
            </w:tcBorders>
          </w:tcPr>
          <w:p w14:paraId="38A290E4">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29100</w:t>
            </w:r>
          </w:p>
        </w:tc>
        <w:tc>
          <w:tcPr>
            <w:tcW w:w="1235" w:type="dxa"/>
            <w:tcBorders>
              <w:top w:val="nil"/>
              <w:left w:val="nil"/>
              <w:bottom w:val="nil"/>
              <w:right w:val="nil"/>
            </w:tcBorders>
          </w:tcPr>
          <w:p w14:paraId="304745EA">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三年</w:t>
            </w:r>
          </w:p>
        </w:tc>
      </w:tr>
      <w:tr w14:paraId="2126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tcPr>
          <w:p w14:paraId="3B28A2DF">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交换机</w:t>
            </w:r>
          </w:p>
        </w:tc>
        <w:tc>
          <w:tcPr>
            <w:tcW w:w="2522" w:type="dxa"/>
            <w:tcBorders>
              <w:top w:val="nil"/>
              <w:left w:val="nil"/>
              <w:bottom w:val="nil"/>
              <w:right w:val="nil"/>
            </w:tcBorders>
          </w:tcPr>
          <w:p w14:paraId="62E1B941">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rPr>
              <w:t>RG-S6000C-48GT4XS-E-AC</w:t>
            </w:r>
          </w:p>
        </w:tc>
        <w:tc>
          <w:tcPr>
            <w:tcW w:w="1234" w:type="dxa"/>
            <w:tcBorders>
              <w:top w:val="nil"/>
              <w:left w:val="nil"/>
              <w:bottom w:val="nil"/>
              <w:right w:val="nil"/>
            </w:tcBorders>
          </w:tcPr>
          <w:p w14:paraId="6C24B270">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8000</w:t>
            </w:r>
          </w:p>
        </w:tc>
        <w:tc>
          <w:tcPr>
            <w:tcW w:w="1148" w:type="dxa"/>
            <w:tcBorders>
              <w:top w:val="nil"/>
              <w:left w:val="nil"/>
              <w:bottom w:val="nil"/>
              <w:right w:val="nil"/>
            </w:tcBorders>
          </w:tcPr>
          <w:p w14:paraId="2D0CCEA0">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w:t>
            </w:r>
          </w:p>
        </w:tc>
        <w:tc>
          <w:tcPr>
            <w:tcW w:w="1235" w:type="dxa"/>
            <w:tcBorders>
              <w:top w:val="nil"/>
              <w:left w:val="nil"/>
              <w:bottom w:val="nil"/>
              <w:right w:val="nil"/>
            </w:tcBorders>
          </w:tcPr>
          <w:p w14:paraId="0F2AC690">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8000</w:t>
            </w:r>
          </w:p>
        </w:tc>
        <w:tc>
          <w:tcPr>
            <w:tcW w:w="1235" w:type="dxa"/>
            <w:tcBorders>
              <w:top w:val="nil"/>
              <w:left w:val="nil"/>
              <w:bottom w:val="nil"/>
              <w:right w:val="nil"/>
            </w:tcBorders>
          </w:tcPr>
          <w:p w14:paraId="72BB9B4D">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lang w:val="en-US" w:eastAsia="zh-CN"/>
              </w:rPr>
              <w:t>三年</w:t>
            </w:r>
          </w:p>
        </w:tc>
      </w:tr>
      <w:tr w14:paraId="3E73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tcPr>
          <w:p w14:paraId="42D879AF">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光模块</w:t>
            </w:r>
          </w:p>
        </w:tc>
        <w:tc>
          <w:tcPr>
            <w:tcW w:w="2522" w:type="dxa"/>
            <w:tcBorders>
              <w:top w:val="nil"/>
              <w:left w:val="nil"/>
              <w:bottom w:val="nil"/>
              <w:right w:val="nil"/>
            </w:tcBorders>
          </w:tcPr>
          <w:p w14:paraId="6C374E4D">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rPr>
              <w:t>VG-SFP-SR-MM850</w:t>
            </w:r>
          </w:p>
        </w:tc>
        <w:tc>
          <w:tcPr>
            <w:tcW w:w="1234" w:type="dxa"/>
            <w:tcBorders>
              <w:top w:val="nil"/>
              <w:left w:val="nil"/>
              <w:bottom w:val="nil"/>
              <w:right w:val="nil"/>
            </w:tcBorders>
          </w:tcPr>
          <w:p w14:paraId="4D1A2EC0">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290</w:t>
            </w:r>
          </w:p>
        </w:tc>
        <w:tc>
          <w:tcPr>
            <w:tcW w:w="1148" w:type="dxa"/>
            <w:tcBorders>
              <w:top w:val="nil"/>
              <w:left w:val="nil"/>
              <w:bottom w:val="nil"/>
              <w:right w:val="nil"/>
            </w:tcBorders>
          </w:tcPr>
          <w:p w14:paraId="418F654F">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40</w:t>
            </w:r>
          </w:p>
        </w:tc>
        <w:tc>
          <w:tcPr>
            <w:tcW w:w="1235" w:type="dxa"/>
            <w:tcBorders>
              <w:top w:val="nil"/>
              <w:left w:val="nil"/>
              <w:bottom w:val="nil"/>
              <w:right w:val="nil"/>
            </w:tcBorders>
          </w:tcPr>
          <w:p w14:paraId="1BB2B606">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11600</w:t>
            </w:r>
          </w:p>
        </w:tc>
        <w:tc>
          <w:tcPr>
            <w:tcW w:w="1235" w:type="dxa"/>
            <w:tcBorders>
              <w:top w:val="nil"/>
              <w:left w:val="nil"/>
              <w:bottom w:val="nil"/>
              <w:right w:val="nil"/>
            </w:tcBorders>
          </w:tcPr>
          <w:p w14:paraId="574CEF5B">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lang w:val="en-US" w:eastAsia="zh-CN"/>
              </w:rPr>
              <w:t>三年</w:t>
            </w:r>
          </w:p>
        </w:tc>
      </w:tr>
      <w:tr w14:paraId="520A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tcPr>
          <w:p w14:paraId="356DA5E8">
            <w:pPr>
              <w:pStyle w:val="2"/>
              <w:spacing w:before="65" w:line="180" w:lineRule="auto"/>
              <w:rPr>
                <w:rFonts w:hint="eastAsia"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lang w:val="en-US" w:eastAsia="zh-CN"/>
              </w:rPr>
              <w:t>光纤跳线</w:t>
            </w:r>
          </w:p>
        </w:tc>
        <w:tc>
          <w:tcPr>
            <w:tcW w:w="2522" w:type="dxa"/>
            <w:tcBorders>
              <w:top w:val="nil"/>
              <w:left w:val="nil"/>
              <w:bottom w:val="nil"/>
              <w:right w:val="nil"/>
            </w:tcBorders>
          </w:tcPr>
          <w:p w14:paraId="5D4B51F7">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lang w:val="en-US" w:eastAsia="zh-CN"/>
              </w:rPr>
              <w:t>25G-LC-20M</w:t>
            </w:r>
          </w:p>
        </w:tc>
        <w:tc>
          <w:tcPr>
            <w:tcW w:w="1234" w:type="dxa"/>
            <w:tcBorders>
              <w:top w:val="nil"/>
              <w:left w:val="nil"/>
              <w:bottom w:val="nil"/>
              <w:right w:val="nil"/>
            </w:tcBorders>
          </w:tcPr>
          <w:p w14:paraId="669D7405">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100</w:t>
            </w:r>
          </w:p>
        </w:tc>
        <w:tc>
          <w:tcPr>
            <w:tcW w:w="1148" w:type="dxa"/>
            <w:tcBorders>
              <w:top w:val="nil"/>
              <w:left w:val="nil"/>
              <w:bottom w:val="nil"/>
              <w:right w:val="nil"/>
            </w:tcBorders>
          </w:tcPr>
          <w:p w14:paraId="703E5D1C">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13</w:t>
            </w:r>
          </w:p>
        </w:tc>
        <w:tc>
          <w:tcPr>
            <w:tcW w:w="1235" w:type="dxa"/>
            <w:tcBorders>
              <w:top w:val="nil"/>
              <w:left w:val="nil"/>
              <w:bottom w:val="nil"/>
              <w:right w:val="nil"/>
            </w:tcBorders>
          </w:tcPr>
          <w:p w14:paraId="1784E53A">
            <w:pPr>
              <w:pStyle w:val="2"/>
              <w:spacing w:before="65" w:line="180" w:lineRule="auto"/>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1300</w:t>
            </w:r>
          </w:p>
        </w:tc>
        <w:tc>
          <w:tcPr>
            <w:tcW w:w="1235" w:type="dxa"/>
            <w:tcBorders>
              <w:top w:val="nil"/>
              <w:left w:val="nil"/>
              <w:bottom w:val="nil"/>
              <w:right w:val="nil"/>
            </w:tcBorders>
          </w:tcPr>
          <w:p w14:paraId="106D0BE8">
            <w:pPr>
              <w:pStyle w:val="2"/>
              <w:spacing w:before="65" w:line="180" w:lineRule="auto"/>
              <w:rPr>
                <w:rFonts w:hint="eastAsia" w:ascii="楷体" w:hAnsi="楷体" w:eastAsia="楷体" w:cs="楷体"/>
                <w:color w:val="0B0B0B"/>
                <w:spacing w:val="-8"/>
                <w:w w:val="94"/>
                <w:sz w:val="24"/>
                <w:szCs w:val="24"/>
                <w:vertAlign w:val="baseline"/>
              </w:rPr>
            </w:pPr>
            <w:r>
              <w:rPr>
                <w:rFonts w:hint="eastAsia" w:ascii="楷体" w:hAnsi="楷体" w:eastAsia="楷体" w:cs="楷体"/>
                <w:color w:val="0B0B0B"/>
                <w:spacing w:val="-8"/>
                <w:w w:val="94"/>
                <w:sz w:val="24"/>
                <w:szCs w:val="24"/>
                <w:vertAlign w:val="baseline"/>
                <w:lang w:val="en-US" w:eastAsia="zh-CN"/>
              </w:rPr>
              <w:t>三年</w:t>
            </w:r>
          </w:p>
        </w:tc>
      </w:tr>
      <w:tr w14:paraId="13EDC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8" w:type="dxa"/>
            <w:tcBorders>
              <w:top w:val="nil"/>
              <w:left w:val="nil"/>
              <w:bottom w:val="nil"/>
              <w:right w:val="nil"/>
            </w:tcBorders>
            <w:shd w:val="clear" w:color="auto" w:fill="CFCECE" w:themeFill="background2" w:themeFillShade="E5"/>
          </w:tcPr>
          <w:p w14:paraId="2DC3FE20">
            <w:pPr>
              <w:pStyle w:val="2"/>
              <w:spacing w:before="65" w:line="180" w:lineRule="auto"/>
              <w:rPr>
                <w:rFonts w:hint="eastAsia" w:ascii="楷体" w:hAnsi="楷体" w:eastAsia="楷体" w:cs="楷体"/>
                <w:color w:val="0B0B0B"/>
                <w:spacing w:val="-8"/>
                <w:w w:val="94"/>
                <w:sz w:val="24"/>
                <w:szCs w:val="24"/>
                <w:lang w:val="en-US" w:eastAsia="zh-CN"/>
              </w:rPr>
            </w:pPr>
          </w:p>
        </w:tc>
        <w:tc>
          <w:tcPr>
            <w:tcW w:w="2522" w:type="dxa"/>
            <w:tcBorders>
              <w:top w:val="nil"/>
              <w:left w:val="nil"/>
              <w:bottom w:val="nil"/>
              <w:right w:val="nil"/>
            </w:tcBorders>
            <w:shd w:val="clear" w:color="auto" w:fill="CFCECE" w:themeFill="background2" w:themeFillShade="E5"/>
          </w:tcPr>
          <w:p w14:paraId="07F045CC">
            <w:pPr>
              <w:pStyle w:val="2"/>
              <w:spacing w:before="65" w:line="180" w:lineRule="auto"/>
              <w:rPr>
                <w:rFonts w:hint="eastAsia" w:ascii="楷体" w:hAnsi="楷体" w:eastAsia="楷体" w:cs="楷体"/>
                <w:color w:val="0B0B0B"/>
                <w:spacing w:val="-8"/>
                <w:w w:val="94"/>
                <w:sz w:val="24"/>
                <w:szCs w:val="24"/>
                <w:lang w:val="en-US" w:eastAsia="zh-CN"/>
              </w:rPr>
            </w:pPr>
          </w:p>
        </w:tc>
        <w:tc>
          <w:tcPr>
            <w:tcW w:w="1234" w:type="dxa"/>
            <w:tcBorders>
              <w:top w:val="nil"/>
              <w:left w:val="nil"/>
              <w:bottom w:val="nil"/>
              <w:right w:val="nil"/>
            </w:tcBorders>
            <w:shd w:val="clear" w:color="auto" w:fill="CFCECE" w:themeFill="background2" w:themeFillShade="E5"/>
          </w:tcPr>
          <w:p w14:paraId="1F461618">
            <w:pPr>
              <w:pStyle w:val="2"/>
              <w:spacing w:before="65" w:line="180" w:lineRule="auto"/>
              <w:rPr>
                <w:rFonts w:hint="eastAsia" w:ascii="楷体" w:hAnsi="楷体" w:eastAsia="楷体" w:cs="楷体"/>
                <w:color w:val="0B0B0B"/>
                <w:spacing w:val="-8"/>
                <w:w w:val="94"/>
                <w:sz w:val="24"/>
                <w:szCs w:val="24"/>
                <w:vertAlign w:val="baseline"/>
                <w:lang w:val="en-US" w:eastAsia="zh-CN"/>
              </w:rPr>
            </w:pPr>
          </w:p>
        </w:tc>
        <w:tc>
          <w:tcPr>
            <w:tcW w:w="1148" w:type="dxa"/>
            <w:tcBorders>
              <w:top w:val="nil"/>
              <w:left w:val="nil"/>
              <w:bottom w:val="nil"/>
              <w:right w:val="nil"/>
            </w:tcBorders>
            <w:shd w:val="clear" w:color="auto" w:fill="CFCECE" w:themeFill="background2" w:themeFillShade="E5"/>
          </w:tcPr>
          <w:p w14:paraId="2B455E76">
            <w:pPr>
              <w:pStyle w:val="2"/>
              <w:spacing w:before="65" w:line="180" w:lineRule="auto"/>
              <w:rPr>
                <w:rFonts w:hint="eastAsia" w:ascii="楷体" w:hAnsi="楷体" w:eastAsia="楷体" w:cs="楷体"/>
                <w:color w:val="0B0B0B"/>
                <w:spacing w:val="-8"/>
                <w:w w:val="94"/>
                <w:sz w:val="24"/>
                <w:szCs w:val="24"/>
                <w:vertAlign w:val="baseline"/>
                <w:lang w:val="en-US" w:eastAsia="zh-CN"/>
              </w:rPr>
            </w:pPr>
          </w:p>
        </w:tc>
        <w:tc>
          <w:tcPr>
            <w:tcW w:w="2470" w:type="dxa"/>
            <w:gridSpan w:val="2"/>
            <w:tcBorders>
              <w:top w:val="nil"/>
              <w:left w:val="nil"/>
              <w:bottom w:val="nil"/>
              <w:right w:val="nil"/>
            </w:tcBorders>
            <w:shd w:val="clear" w:color="auto" w:fill="CFCECE" w:themeFill="background2" w:themeFillShade="E5"/>
            <w:vAlign w:val="top"/>
          </w:tcPr>
          <w:p w14:paraId="44035705">
            <w:pPr>
              <w:pStyle w:val="2"/>
              <w:spacing w:before="65" w:line="180" w:lineRule="auto"/>
              <w:jc w:val="right"/>
              <w:rPr>
                <w:rFonts w:hint="default" w:ascii="楷体" w:hAnsi="楷体" w:eastAsia="楷体" w:cs="楷体"/>
                <w:color w:val="0B0B0B"/>
                <w:spacing w:val="-8"/>
                <w:w w:val="94"/>
                <w:sz w:val="24"/>
                <w:szCs w:val="24"/>
                <w:vertAlign w:val="baseline"/>
                <w:lang w:val="en-US" w:eastAsia="zh-CN"/>
              </w:rPr>
            </w:pPr>
            <w:r>
              <w:rPr>
                <w:rFonts w:hint="eastAsia" w:ascii="楷体" w:hAnsi="楷体" w:eastAsia="楷体" w:cs="楷体"/>
                <w:color w:val="0B0B0B"/>
                <w:spacing w:val="-8"/>
                <w:w w:val="94"/>
                <w:sz w:val="24"/>
                <w:szCs w:val="24"/>
                <w:vertAlign w:val="baseline"/>
                <w:lang w:val="en-US" w:eastAsia="zh-CN"/>
              </w:rPr>
              <w:t>总价：50000</w:t>
            </w:r>
          </w:p>
        </w:tc>
      </w:tr>
    </w:tbl>
    <w:p w14:paraId="276488FB">
      <w:pPr>
        <w:pStyle w:val="2"/>
        <w:spacing w:before="65" w:line="180" w:lineRule="auto"/>
        <w:rPr>
          <w:rFonts w:hint="default" w:ascii="楷体" w:hAnsi="楷体" w:eastAsia="楷体" w:cs="楷体"/>
          <w:color w:val="0B0B0B"/>
          <w:spacing w:val="-8"/>
          <w:w w:val="94"/>
          <w:sz w:val="24"/>
          <w:szCs w:val="24"/>
          <w:lang w:val="en-US" w:eastAsia="zh-CN"/>
        </w:rPr>
      </w:pPr>
    </w:p>
    <w:p w14:paraId="470D001D">
      <w:pPr>
        <w:pStyle w:val="2"/>
        <w:spacing w:before="65" w:line="180" w:lineRule="auto"/>
        <w:rPr>
          <w:rFonts w:hint="default" w:ascii="楷体" w:hAnsi="楷体" w:eastAsia="楷体" w:cs="楷体"/>
          <w:color w:val="0B0B0B"/>
          <w:spacing w:val="-8"/>
          <w:w w:val="94"/>
          <w:sz w:val="24"/>
          <w:szCs w:val="24"/>
          <w:lang w:val="en-US" w:eastAsia="zh-CN"/>
        </w:rPr>
      </w:pPr>
    </w:p>
    <w:p w14:paraId="78C9B17E">
      <w:pPr>
        <w:pStyle w:val="2"/>
        <w:spacing w:before="65" w:line="180" w:lineRule="auto"/>
        <w:rPr>
          <w:rFonts w:hint="default" w:ascii="楷体" w:hAnsi="楷体" w:eastAsia="楷体" w:cs="楷体"/>
          <w:color w:val="0B0B0B"/>
          <w:spacing w:val="-8"/>
          <w:w w:val="94"/>
          <w:sz w:val="24"/>
          <w:szCs w:val="24"/>
          <w:lang w:val="en-US" w:eastAsia="zh-CN"/>
        </w:rPr>
      </w:pPr>
    </w:p>
    <w:p w14:paraId="4A06812E">
      <w:pPr>
        <w:pStyle w:val="2"/>
        <w:spacing w:before="65" w:line="180" w:lineRule="auto"/>
        <w:rPr>
          <w:rFonts w:hint="default" w:ascii="楷体" w:hAnsi="楷体" w:eastAsia="楷体" w:cs="楷体"/>
          <w:color w:val="0B0B0B"/>
          <w:spacing w:val="-8"/>
          <w:w w:val="94"/>
          <w:sz w:val="24"/>
          <w:szCs w:val="24"/>
          <w:lang w:val="en-US" w:eastAsia="zh-CN"/>
        </w:rPr>
      </w:pPr>
    </w:p>
    <w:p w14:paraId="7C7CD602">
      <w:pPr>
        <w:pStyle w:val="2"/>
        <w:spacing w:before="65" w:line="180" w:lineRule="auto"/>
        <w:rPr>
          <w:rFonts w:hint="default" w:ascii="楷体" w:hAnsi="楷体" w:eastAsia="楷体" w:cs="楷体"/>
          <w:color w:val="0B0B0B"/>
          <w:spacing w:val="-8"/>
          <w:w w:val="94"/>
          <w:sz w:val="24"/>
          <w:szCs w:val="24"/>
          <w:lang w:val="en-US" w:eastAsia="zh-CN"/>
        </w:rPr>
      </w:pPr>
    </w:p>
    <w:p w14:paraId="0C372AE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9"/>
          <w:spacing w:val="-14"/>
          <w:w w:val="99"/>
          <w:sz w:val="24"/>
          <w:szCs w:val="24"/>
          <w:lang w:val="en-US" w:eastAsia="zh-CN"/>
        </w:rPr>
      </w:pPr>
      <w:r>
        <w:rPr>
          <w:rFonts w:hint="eastAsia" w:ascii="楷体" w:hAnsi="楷体" w:eastAsia="楷体" w:cs="楷体"/>
          <w:color w:val="0B0B09"/>
          <w:spacing w:val="-10"/>
          <w:w w:val="95"/>
          <w:sz w:val="24"/>
          <w:szCs w:val="24"/>
        </w:rPr>
        <w:t>备注：以上货物均为全新、未拆封。合计金额中已包含设备上架、配置调试、机房线缆部</w:t>
      </w:r>
      <w:r>
        <w:rPr>
          <w:rFonts w:hint="eastAsia" w:ascii="楷体" w:hAnsi="楷体" w:eastAsia="楷体" w:cs="楷体"/>
          <w:color w:val="0B0B09"/>
          <w:spacing w:val="-14"/>
          <w:w w:val="99"/>
          <w:sz w:val="24"/>
          <w:szCs w:val="24"/>
        </w:rPr>
        <w:t>署等全部费用。</w:t>
      </w:r>
      <w:r>
        <w:rPr>
          <w:rFonts w:hint="eastAsia" w:ascii="楷体" w:hAnsi="楷体" w:eastAsia="楷体" w:cs="楷体"/>
          <w:color w:val="0B0B09"/>
          <w:spacing w:val="-49"/>
          <w:sz w:val="24"/>
          <w:szCs w:val="24"/>
        </w:rPr>
        <w:t xml:space="preserve"> </w:t>
      </w:r>
      <w:r>
        <w:rPr>
          <w:rFonts w:hint="eastAsia" w:ascii="楷体" w:hAnsi="楷体" w:eastAsia="楷体" w:cs="楷体"/>
          <w:color w:val="0B0B09"/>
          <w:spacing w:val="-14"/>
          <w:w w:val="99"/>
          <w:sz w:val="24"/>
          <w:szCs w:val="24"/>
        </w:rPr>
        <w:t>已</w:t>
      </w:r>
      <w:r>
        <w:rPr>
          <w:rFonts w:hint="eastAsia" w:ascii="楷体" w:hAnsi="楷体" w:eastAsia="楷体" w:cs="楷体"/>
          <w:color w:val="0B0B09"/>
          <w:spacing w:val="-14"/>
          <w:w w:val="99"/>
          <w:sz w:val="24"/>
          <w:szCs w:val="24"/>
          <w:lang w:val="en-US" w:eastAsia="zh-CN"/>
        </w:rPr>
        <w:t>含税。</w:t>
      </w:r>
    </w:p>
    <w:p w14:paraId="2E4460F7">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付款方式</w:t>
      </w:r>
    </w:p>
    <w:p w14:paraId="77E0FE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甲方收到全部货物且验收合格后，乙方向甲方开具全额增值税专用发票 (税点：【13%】),甲方收到发票后 60 日内，以转账形式支付全款。</w:t>
      </w:r>
    </w:p>
    <w:p w14:paraId="5E1427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p>
    <w:p w14:paraId="2167EE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乙方收款账户信息如下：</w:t>
      </w:r>
    </w:p>
    <w:p w14:paraId="74245D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开户名： 上海一二三有限公司</w:t>
      </w:r>
    </w:p>
    <w:p w14:paraId="47F5DFA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开户银行：上海浦东发展银行陆家嘴支行</w:t>
      </w:r>
    </w:p>
    <w:p w14:paraId="0E2C7B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账号 ：98060154711111111</w:t>
      </w:r>
    </w:p>
    <w:p w14:paraId="250E0B2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三、交货及运输</w:t>
      </w:r>
    </w:p>
    <w:p w14:paraId="1EBBD7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3.1 交货地点： 以甲方告知为准。</w:t>
      </w:r>
    </w:p>
    <w:p w14:paraId="5EB0D7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 xml:space="preserve">3.2 交货时间：2025 年 10 月底 - 11月初。 </w:t>
      </w:r>
    </w:p>
    <w:p w14:paraId="757E4F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3.3 风险转移：本合同项下货物风险自货物由甲方确认验收合格后从乙方转移至甲方，在此之前，货物的毁损、灭失风险完全由乙方承担。</w:t>
      </w:r>
    </w:p>
    <w:p w14:paraId="48CB09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3.4 质量及包装标准：乙方所提供的货物必须为原厂商原包装的全新正品，应符合原生产企业对该品牌产品的有关规格标准及该类产品的国家标准和通常标准。乙方承运的所有货物应采用具有适合长途运输、多次搬运、装卸的坚固包装，按照货物的特点，分别采取防潮、防霉、防锈、防腐蚀、防冻的保护措施，使货物在没有任何损坏和腐蚀的情况下安全地运抵交货地点 ,包装费用由乙方承担，包装物不回收。</w:t>
      </w:r>
    </w:p>
    <w:p w14:paraId="2045BE1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四 、验收及售后</w:t>
      </w:r>
    </w:p>
    <w:p w14:paraId="2AD03A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4.1 货物运抵交货地点后，甲方根据本合同采购清单中名称、型号、产地、外形尺寸、软件功能、包装件数等信息与装运清单及实物进行核对，核对无误后由甲方指定收货人对到货签收单进行签字确认。</w:t>
      </w:r>
    </w:p>
    <w:p w14:paraId="14E801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4.2验收：甲方签发验收单之日起的 90 天内，如若发现货物有缺少、损伤、破损或与本合同约定不符的其他情形，视为验收不合格，甲方有权拒收，并要求乙方在5日内补发或重发问题货物，由此产生的一切费用由乙方承担。乙方在上述期限内无法补发或者补发货物仍存在质量问题或仍与本合同约定不符，甲方有权单方解除合同，双方按照已经发货且通过验收的货物数量进行结算，同时乙方应当按照合同合计金额的20%向甲方支付违约金。</w:t>
      </w:r>
    </w:p>
    <w:p w14:paraId="30815D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4.3 如因货物的质量问题引起的任何第三方人身损害或财产损失的，均由乙方承担全部法律责任及经济损失，乙方应使甲方免受任何责任损失，且不受本合同金额和质量保证期的限制。</w:t>
      </w:r>
    </w:p>
    <w:p w14:paraId="78A7E4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4.4 甲乙双方无其他约定的，则合同货物质量保证期从到货验收合格之日起算，为期【叁】年 (含货物原厂保修和乙方提供的第三方保修服务) , 维保售后条款具体详见附件 (如有)。</w:t>
      </w:r>
    </w:p>
    <w:p w14:paraId="580BCAC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五、不可抗力及违约</w:t>
      </w:r>
    </w:p>
    <w:p w14:paraId="52EE6D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5.1 由于地震、台风、水灾、火灾、战争以及其他不可预见的并对其发生或后果不能防止或避免的不可抗力事故，致使直接影响合同的履行或者不能按约定的条件履行，遇有上述不可抗力事件的一方，应立即将事件通知对方，并在30日内提供相关部门出具的证明。因不可抗力造成的违约，可免除相关方在不可抗力影响的范围及其持续期间内的全部责任。如不可抗力事件影响超过20日的，双方均有权解除合同。</w:t>
      </w:r>
    </w:p>
    <w:p w14:paraId="23BA2F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5.2 除不可抗力的原因以外 ，乙方逾期交货的，应每逾期一天支付本合同合计金额的万分之五作为违约金，违约金最多不超过合同合计金额的 10% 。乙方按照本合同要求提供货物且通过验收后，如果因为甲方原因造成逾期付款的，应每逾期一天支付应付金额的万分之五作为违约金，违约金最多不超过合同合计金额的10% 。乙方超过20日未能交货的，甲方有权单方解除合同，并要求乙方每逾期一天支付合同合计金额的万分之五作为违约金，不设上限。</w:t>
      </w:r>
    </w:p>
    <w:p w14:paraId="3B82B6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5.3 除不可抗力的原因以外，由于乙方过错造成甲方损失的，由乙方负责赔偿甲方相应损失。在货物使用过程中，如因货物质量问题造成甲方损失的，由乙方负责赔偿。如因货物存在侵犯第三方合法权益的情形导致甲方利益受损的，由乙方负责赔偿，赔偿责任不受本合同合计金额和质量保证期的限制。</w:t>
      </w:r>
    </w:p>
    <w:p w14:paraId="6F8F08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六、廉洁及保密条款</w:t>
      </w:r>
    </w:p>
    <w:p w14:paraId="57DB76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甲 、乙双方应另行签署《供应商廉洁协议》并遵守以下保密条款。</w:t>
      </w:r>
    </w:p>
    <w:p w14:paraId="3464A9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6.1 双方应当对本合同的内容、因履行本合同或在本合同期间获得的或收到的对方的商务、财务、技术、产品的信息、用户资料或其他标明保密的文件或信息的内容(简称“保密资料”)保守秘密，未经信息披露方书面事先同意，不得向任何第三方披露。任何一方违反本条款的，应承担给对方造成的全部损失 ,</w:t>
      </w:r>
    </w:p>
    <w:p w14:paraId="71F8F2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6.2 乙方履行合同过程中所取得的与履行合同有关的工作成果属甲方所有，乙方负有保密义务。未经甲方书面事先同意，乙方不得在合同履行期内或合同履行完毕后以任何方式泄露。</w:t>
      </w:r>
    </w:p>
    <w:p w14:paraId="7CD674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6.3 乙方违反以上任意一款规定的，应向甲方支付合同合计金额的30%作为违约金，若违约金不足以弥补甲方损失的，乙方应赔偿甲方的全部损失。</w:t>
      </w:r>
    </w:p>
    <w:p w14:paraId="21F04D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6.4 本合同的保密条款在合同终止、解除或被撤销后，同样具有约束力。</w:t>
      </w:r>
    </w:p>
    <w:p w14:paraId="43D011E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七、争议解决</w:t>
      </w:r>
    </w:p>
    <w:p w14:paraId="3C2C38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7. 1 本合同的有效性、解释、执行及履行和争议解决应适用中华人民共和国的法律和法规。</w:t>
      </w:r>
    </w:p>
    <w:p w14:paraId="0954FA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7.2 在发生因履行本合同而引起的或与本合同有关的争议时，双方应首先通过友好协商解决争议。如果无法协商一致的，双方同意将争议提交合同订立地上海市静安区人民法院诉讼解决。</w:t>
      </w:r>
    </w:p>
    <w:p w14:paraId="733F0C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7.3 当产生任何争议及任何争议正在法院审理时，除争议事项外，双方应继续行使其剩余的相关权利，履行其本合同项下的其他义务。</w:t>
      </w:r>
    </w:p>
    <w:p w14:paraId="51C1348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八 、其他</w:t>
      </w:r>
    </w:p>
    <w:p w14:paraId="5BAA66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8.1 本合同履行过程中，任何“通知”、“告知”、“确认”、“同意”均应以书面形式作出，“书面形式”限于以中文形式发送传真、电子邮件、信函(邮政、快递或专人派送)文书送达地址以本合同所载双方文书送达地址为准，日期以对方收到日期为准;本合同首部的双方信息若变更，需以书面形式告知另一方并确认对方知悉。</w:t>
      </w:r>
    </w:p>
    <w:p w14:paraId="7E67AB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8.2 双方如有未尽事宜，可另行签订本合同的补充合同，该补充合同应视为本合同不可分割的一部分，具有同等法律效力。</w:t>
      </w:r>
    </w:p>
    <w:p w14:paraId="0D579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8.3 本合同以中文书写，壹式【贰】份， 甲乙双方各执【壹】份，具有同等法律效力，经双方盖章后生效。</w:t>
      </w:r>
    </w:p>
    <w:p w14:paraId="37CCC2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(以下无正文)</w:t>
      </w:r>
    </w:p>
    <w:p w14:paraId="448744A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40F7A2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5FE255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74E52D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734BD1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7F3ADE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甲方 :  上海合合信息科技股份有限公司(盖章)</w:t>
      </w:r>
    </w:p>
    <w:p w14:paraId="488C84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签订时间：2025 年  9 月 25 日</w:t>
      </w:r>
    </w:p>
    <w:p w14:paraId="589DD5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77014D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p w14:paraId="570B38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乙方：上海一二三有限公司(盖章)</w:t>
      </w:r>
    </w:p>
    <w:p w14:paraId="694951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r>
        <w:rPr>
          <w:rFonts w:hint="eastAsia" w:ascii="楷体" w:hAnsi="楷体" w:eastAsia="楷体" w:cs="楷体"/>
          <w:color w:val="0B0B0B"/>
          <w:spacing w:val="-8"/>
          <w:w w:val="94"/>
          <w:sz w:val="24"/>
          <w:szCs w:val="24"/>
          <w:lang w:val="en-US" w:eastAsia="zh-CN"/>
        </w:rPr>
        <w:t>签订时间：2025 年 9月 25 日</w:t>
      </w:r>
    </w:p>
    <w:p w14:paraId="4B8EE8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18" w:firstLineChars="200"/>
        <w:jc w:val="left"/>
        <w:textAlignment w:val="auto"/>
        <w:rPr>
          <w:rFonts w:hint="eastAsia" w:ascii="楷体" w:hAnsi="楷体" w:eastAsia="楷体" w:cs="楷体"/>
          <w:color w:val="0B0B0B"/>
          <w:spacing w:val="-8"/>
          <w:w w:val="94"/>
          <w:sz w:val="24"/>
          <w:szCs w:val="24"/>
          <w:lang w:val="en-US" w:eastAsia="zh-CN"/>
        </w:rPr>
      </w:pPr>
    </w:p>
    <w:sectPr>
      <w:headerReference r:id="rId3" w:type="default"/>
      <w:footerReference r:id="rId4" w:type="default"/>
      <w:pgSz w:w="11906" w:h="16838"/>
      <w:pgMar w:top="1440" w:right="1633" w:bottom="1440" w:left="1633"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BEE25">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22D0A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622D0A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5849A">
    <w:pPr>
      <w:pStyle w:val="4"/>
      <w:jc w:val="right"/>
      <w:rPr>
        <w:rFonts w:hint="eastAsia" w:ascii="楷体" w:hAnsi="楷体" w:eastAsia="楷体" w:cs="楷体"/>
      </w:rPr>
    </w:pPr>
    <w:r>
      <w:rPr>
        <w:rFonts w:hint="eastAsia" w:ascii="楷体" w:hAnsi="楷体" w:eastAsia="楷体" w:cs="楷体"/>
      </w:rPr>
      <w:t>合同编号： CG-123456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D969F8"/>
    <w:multiLevelType w:val="singleLevel"/>
    <w:tmpl w:val="7BD969F8"/>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9578B6"/>
    <w:rsid w:val="09217959"/>
    <w:rsid w:val="1A5B7E9D"/>
    <w:rsid w:val="3C9578B6"/>
    <w:rsid w:val="6DCB2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6"/>
      <w:szCs w:val="26"/>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2476</Words>
  <Characters>2663</Characters>
  <Lines>0</Lines>
  <Paragraphs>0</Paragraphs>
  <TotalTime>11</TotalTime>
  <ScaleCrop>false</ScaleCrop>
  <LinksUpToDate>false</LinksUpToDate>
  <CharactersWithSpaces>2748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2026-04-01T11:47:00Z</dcterms:created>
  <dc:creator>薛雯瑶</dc:creator>
  <cp:lastModifiedBy>薛雯瑶</cp:lastModifiedBy>
  <dcterms:modified xsi:type="dcterms:W3CDTF">2026-04-01T12:27:34Z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C719AE7CAE7E431990A5BA3804862B5B_11</vt:lpwstr>
  </property>
  <property fmtid="{D5CDD505-2E9C-101B-9397-08002B2CF9AE}" pid="4" name="KSOTemplateDocerSaveRecord">
    <vt:lpwstr>eyJoZGlkIjoiOGU5OTRhZDZmNWIxNzg4Y2U5YjhjYmI0YzhiYTBmYWMiLCJ1c2VySWQiOiIxNjU3NDI2NTI0In0=</vt:lpwstr>
  </property>
</Properties>
</file>