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spacing w:before="0" w:after="120"/>
        <w:jc w:val="center"/>
      </w:pPr>
      <w:r>
        <w:rPr>
          <w:rFonts w:ascii="Times New Roman" w:hAnsi="Times New Roman"/>
          <w:b/>
          <w:i w:val="0"/>
          <w:sz w:val="28"/>
        </w:rPr>
        <w:t>НАЦИОНАЛЬНЫЙ ИССЛЕДОВАТЕЛЬСКИЙ УНИВЕРСИТЕТ</w:t>
        <w:br/>
        <w:t>«ВЫСШАЯ ШКОЛА ЭКОНОМИКИ»</w:t>
      </w:r>
    </w:p>
    <w:p>
      <w:pPr>
        <w:spacing w:before="0" w:after="120"/>
        <w:jc w:val="center"/>
      </w:pPr>
      <w:r>
        <w:rPr>
          <w:rFonts w:ascii="Times New Roman" w:hAnsi="Times New Roman"/>
          <w:b w:val="0"/>
          <w:i w:val="0"/>
          <w:sz w:val="26"/>
        </w:rPr>
        <w:t>Факультет компьютерных наук</w:t>
        <w:br/>
        <w:t>Департамент программной инженерии</w:t>
      </w:r>
    </w:p>
    <w:p/>
    <w:p/>
    <w:p>
      <w:pPr>
        <w:spacing w:before="0" w:after="120"/>
        <w:jc w:val="center"/>
      </w:pPr>
      <w:r>
        <w:rPr>
          <w:rFonts w:ascii="Times New Roman" w:hAnsi="Times New Roman"/>
          <w:b/>
          <w:i w:val="0"/>
          <w:sz w:val="32"/>
        </w:rPr>
        <w:t>ВЫПУСКНАЯ КВАЛИФИКАЦИОННАЯ РАБОТА</w:t>
      </w:r>
    </w:p>
    <w:p>
      <w:pPr>
        <w:spacing w:before="0" w:after="120"/>
        <w:jc w:val="center"/>
      </w:pPr>
      <w:r>
        <w:rPr>
          <w:rFonts w:ascii="Times New Roman" w:hAnsi="Times New Roman"/>
          <w:b w:val="0"/>
          <w:i w:val="0"/>
          <w:sz w:val="26"/>
        </w:rPr>
        <w:t>по направлению подготовки 09.04.04 «Программная инженерия»</w:t>
        <w:br/>
        <w:t>образовательная программа «Аналитика больших данных»</w:t>
      </w:r>
    </w:p>
    <w:p/>
    <w:p>
      <w:pPr>
        <w:spacing w:before="0" w:after="120"/>
        <w:jc w:val="center"/>
      </w:pPr>
      <w:r>
        <w:rPr>
          <w:rFonts w:ascii="Times New Roman" w:hAnsi="Times New Roman"/>
          <w:b/>
          <w:i w:val="0"/>
          <w:sz w:val="30"/>
        </w:rPr>
        <w:t>Разработка нагруженного в режиме близкого к реальному времени конвейера данных поставки платёжной информации, с сохранением истории платежей</w:t>
      </w:r>
    </w:p>
    <w:p/>
    <w:p/>
    <w:p>
      <w:pPr>
        <w:jc w:val="right"/>
      </w:pPr>
      <w:r>
        <w:rPr>
          <w:rFonts w:ascii="Times New Roman" w:hAnsi="Times New Roman"/>
          <w:b w:val="0"/>
          <w:i w:val="0"/>
          <w:sz w:val="26"/>
        </w:rPr>
        <w:t>Студент: Ичёв Е.В.</w:t>
        <w:br/>
        <w:t>Образовательная программа: Аналитика больших данных</w:t>
        <w:br/>
        <w:t>Группа: АБД</w:t>
        <w:br/>
        <w:br/>
        <w:t>Научный руководитель: Заигрин Вадим Валерьевич</w:t>
        <w:br/>
      </w:r>
    </w:p>
    <w:p/>
    <w:p/>
    <w:p>
      <w:pPr>
        <w:spacing w:before="0" w:after="120"/>
        <w:jc w:val="center"/>
      </w:pPr>
      <w:r>
        <w:rPr>
          <w:rFonts w:ascii="Times New Roman" w:hAnsi="Times New Roman"/>
          <w:b w:val="0"/>
          <w:i w:val="0"/>
          <w:sz w:val="26"/>
        </w:rPr>
        <w:t>Москва 2026</w:t>
      </w:r>
    </w:p>
    <w:p>
      <w:r>
        <w:br w:type="page"/>
      </w:r>
    </w:p>
    <w:p>
      <w:pPr>
        <w:spacing w:before="240" w:after="120"/>
        <w:jc w:val="center"/>
      </w:pPr>
      <w:r>
        <w:rPr>
          <w:rFonts w:ascii="Times New Roman" w:hAnsi="Times New Roman"/>
          <w:b/>
          <w:sz w:val="32"/>
        </w:rPr>
        <w:t>АННОТАЦИЯ</w:t>
      </w:r>
    </w:p>
    <w:p>
      <w:pPr>
        <w:spacing w:before="0" w:after="120"/>
        <w:ind w:firstLine="709"/>
      </w:pPr>
      <w:r>
        <w:rPr>
          <w:rFonts w:ascii="Times New Roman" w:hAnsi="Times New Roman"/>
          <w:b w:val="0"/>
          <w:i w:val="0"/>
          <w:sz w:val="26"/>
        </w:rPr>
        <w:t>В рамках данной выпускной квалификационной работы разработана система доставки платёжных данных в режиме, близком к реальному времени (Near Real-Time, NRT), с сохранением полной истории изменений на основе паттерна Slowly Changing Dimension Type 2 (SCD2). Система обеспечивает доставку событий об изменении статуса платежей из OLTP-систем в аналитическое хранилище с задержкой не более 30 секунд (p99) при сохранении полной версионной истории и effectively-exactly-once семантикой обработки на уровне аналитического состояния. Для реализации используется стек: Apache Kafka 3.x (брокер сообщений), Apache Flink 1.19 (потоковая обработка), ClickHouse 24.x (аналитическое хранилище). Выбрана Kappa-архитектура как единый потоковый путь без дублирования кодовой базы. Проведены функциональное и нагрузочное тестирование: при 200 событий/сек p99-задержка составила 4.0 с (SLA ≤ 30 с). Эффективная ёмкость 1 TaskManager (4 слота) — ~480 событий/сек. После async-буферизации ClickHouse sink горизонтальное масштабирование верифицировано: 2 TM (parallelism=8) обрабатывают 500 событий/сек с p99 = 14.0 с (TC-C06, SLA ✅).</w:t>
      </w:r>
    </w:p>
    <w:p>
      <w:pPr>
        <w:spacing w:before="240" w:after="120"/>
        <w:jc w:val="center"/>
      </w:pPr>
      <w:r>
        <w:rPr>
          <w:rFonts w:ascii="Times New Roman" w:hAnsi="Times New Roman"/>
          <w:b/>
          <w:sz w:val="32"/>
        </w:rPr>
        <w:t>СПИСОК КЛЮЧЕВЫХ СЛОВ</w:t>
      </w:r>
    </w:p>
    <w:p>
      <w:pPr>
        <w:spacing w:before="0" w:after="120"/>
      </w:pPr>
      <w:r>
        <w:rPr>
          <w:rFonts w:ascii="Times New Roman" w:hAnsi="Times New Roman"/>
          <w:b w:val="0"/>
          <w:i w:val="0"/>
          <w:sz w:val="26"/>
        </w:rPr>
        <w:t>конвейер данных, потоковая обработка, платёжные данные, Kappa-архитектура, история платежей, SCD Type 2, дедупликация, аналитическое хранилище.</w:t>
      </w:r>
    </w:p>
    <w:p>
      <w:r>
        <w:br w:type="page"/>
      </w:r>
    </w:p>
    <w:p>
      <w:pPr>
        <w:spacing w:before="240" w:after="120"/>
        <w:jc w:val="center"/>
      </w:pPr>
      <w:r>
        <w:rPr>
          <w:rFonts w:ascii="Times New Roman" w:hAnsi="Times New Roman"/>
          <w:b/>
          <w:sz w:val="32"/>
        </w:rPr>
        <w:t>ОГЛАВЛЕНИЕ</w:t>
      </w:r>
    </w:p>
    <w:p>
      <w:pPr>
        <w:tabs>
          <w:tab w:val="right" w:leader="dot" w:pos="9350"/>
        </w:tabs>
        <w:spacing w:after="40"/>
      </w:pPr>
      <w:r>
        <w:rPr>
          <w:rFonts w:ascii="Times New Roman" w:hAnsi="Times New Roman"/>
          <w:sz w:val="26"/>
        </w:rPr>
        <w:t>Аннотация</w:t>
        <w:tab/>
        <w:t>2</w:t>
      </w:r>
    </w:p>
    <w:p>
      <w:pPr>
        <w:tabs>
          <w:tab w:val="right" w:leader="dot" w:pos="9350"/>
        </w:tabs>
        <w:spacing w:after="40"/>
      </w:pPr>
      <w:r>
        <w:rPr>
          <w:rFonts w:ascii="Times New Roman" w:hAnsi="Times New Roman"/>
          <w:sz w:val="26"/>
        </w:rPr>
        <w:t>Список ключевых слов</w:t>
        <w:tab/>
        <w:t>2</w:t>
      </w:r>
    </w:p>
    <w:p>
      <w:pPr>
        <w:tabs>
          <w:tab w:val="right" w:leader="dot" w:pos="9350"/>
        </w:tabs>
        <w:spacing w:after="40"/>
      </w:pPr>
      <w:r>
        <w:rPr>
          <w:rFonts w:ascii="Times New Roman" w:hAnsi="Times New Roman"/>
          <w:sz w:val="26"/>
        </w:rPr>
        <w:t>Введение</w:t>
        <w:tab/>
        <w:t>4</w:t>
      </w:r>
    </w:p>
    <w:p>
      <w:pPr>
        <w:tabs>
          <w:tab w:val="right" w:leader="dot" w:pos="9350"/>
        </w:tabs>
        <w:spacing w:after="40"/>
      </w:pPr>
      <w:r>
        <w:rPr>
          <w:rFonts w:ascii="Times New Roman" w:hAnsi="Times New Roman"/>
          <w:sz w:val="26"/>
        </w:rPr>
        <w:t>Глава 1. Обзор литературы и анализ существующих решений</w:t>
        <w:tab/>
        <w:t>6</w:t>
      </w:r>
    </w:p>
    <w:p>
      <w:pPr>
        <w:tabs>
          <w:tab w:val="right" w:leader="dot" w:pos="9350"/>
        </w:tabs>
        <w:spacing w:after="40"/>
      </w:pPr>
      <w:r>
        <w:rPr>
          <w:rFonts w:ascii="Times New Roman" w:hAnsi="Times New Roman"/>
          <w:sz w:val="26"/>
        </w:rPr>
        <w:t xml:space="preserve">  1.1. Архитектурные паттерны потоковой обработки</w:t>
        <w:tab/>
        <w:t>6</w:t>
      </w:r>
    </w:p>
    <w:p>
      <w:pPr>
        <w:tabs>
          <w:tab w:val="right" w:leader="dot" w:pos="9350"/>
        </w:tabs>
        <w:spacing w:after="40"/>
      </w:pPr>
      <w:r>
        <w:rPr>
          <w:rFonts w:ascii="Times New Roman" w:hAnsi="Times New Roman"/>
          <w:sz w:val="26"/>
        </w:rPr>
        <w:t xml:space="preserve">  1.2. Обзор инструментов и их сравнение</w:t>
        <w:tab/>
        <w:t>7</w:t>
      </w:r>
    </w:p>
    <w:p>
      <w:pPr>
        <w:tabs>
          <w:tab w:val="right" w:leader="dot" w:pos="9350"/>
        </w:tabs>
        <w:spacing w:after="40"/>
      </w:pPr>
      <w:r>
        <w:rPr>
          <w:rFonts w:ascii="Times New Roman" w:hAnsi="Times New Roman"/>
          <w:sz w:val="26"/>
        </w:rPr>
        <w:t xml:space="preserve">  1.3. Обзор аналогов и позиционирование работы</w:t>
        <w:tab/>
        <w:t>8</w:t>
      </w:r>
    </w:p>
    <w:p>
      <w:pPr>
        <w:tabs>
          <w:tab w:val="right" w:leader="dot" w:pos="9350"/>
        </w:tabs>
        <w:spacing w:after="40"/>
      </w:pPr>
      <w:r>
        <w:rPr>
          <w:rFonts w:ascii="Times New Roman" w:hAnsi="Times New Roman"/>
          <w:sz w:val="26"/>
        </w:rPr>
        <w:t>Глава 2. Постановка задачи и проектирование системы</w:t>
        <w:tab/>
        <w:t>9</w:t>
      </w:r>
    </w:p>
    <w:p>
      <w:pPr>
        <w:tabs>
          <w:tab w:val="right" w:leader="dot" w:pos="9350"/>
        </w:tabs>
        <w:spacing w:after="40"/>
      </w:pPr>
      <w:r>
        <w:rPr>
          <w:rFonts w:ascii="Times New Roman" w:hAnsi="Times New Roman"/>
          <w:sz w:val="26"/>
        </w:rPr>
        <w:t xml:space="preserve">  2.1. Функциональные и нефункциональные требования</w:t>
        <w:tab/>
        <w:t>9</w:t>
      </w:r>
    </w:p>
    <w:p>
      <w:pPr>
        <w:tabs>
          <w:tab w:val="right" w:leader="dot" w:pos="9350"/>
        </w:tabs>
        <w:spacing w:after="40"/>
      </w:pPr>
      <w:r>
        <w:rPr>
          <w:rFonts w:ascii="Times New Roman" w:hAnsi="Times New Roman"/>
          <w:sz w:val="26"/>
        </w:rPr>
        <w:t xml:space="preserve">  2.2. Архитектурные решения (ADR)</w:t>
        <w:tab/>
        <w:t>10</w:t>
      </w:r>
    </w:p>
    <w:p>
      <w:pPr>
        <w:tabs>
          <w:tab w:val="right" w:leader="dot" w:pos="9350"/>
        </w:tabs>
        <w:spacing w:after="40"/>
      </w:pPr>
      <w:r>
        <w:rPr>
          <w:rFonts w:ascii="Times New Roman" w:hAnsi="Times New Roman"/>
          <w:sz w:val="26"/>
        </w:rPr>
        <w:t xml:space="preserve">  2.3. Схема потоков данных и компонентная архитектура</w:t>
        <w:tab/>
        <w:t>11</w:t>
      </w:r>
    </w:p>
    <w:p>
      <w:pPr>
        <w:tabs>
          <w:tab w:val="right" w:leader="dot" w:pos="9350"/>
        </w:tabs>
        <w:spacing w:after="40"/>
      </w:pPr>
      <w:r>
        <w:rPr>
          <w:rFonts w:ascii="Times New Roman" w:hAnsi="Times New Roman"/>
          <w:sz w:val="26"/>
        </w:rPr>
        <w:t xml:space="preserve">  2.4. Трассировка требований и границы системы</w:t>
        <w:tab/>
        <w:t>12</w:t>
      </w:r>
    </w:p>
    <w:p>
      <w:pPr>
        <w:tabs>
          <w:tab w:val="right" w:leader="dot" w:pos="9350"/>
        </w:tabs>
        <w:spacing w:after="40"/>
      </w:pPr>
      <w:r>
        <w:rPr>
          <w:rFonts w:ascii="Times New Roman" w:hAnsi="Times New Roman"/>
          <w:sz w:val="26"/>
        </w:rPr>
        <w:t>Глава 3. Проектирование хранения истории</w:t>
        <w:tab/>
        <w:t>13</w:t>
      </w:r>
    </w:p>
    <w:p>
      <w:pPr>
        <w:tabs>
          <w:tab w:val="right" w:leader="dot" w:pos="9350"/>
        </w:tabs>
        <w:spacing w:after="40"/>
      </w:pPr>
      <w:r>
        <w:rPr>
          <w:rFonts w:ascii="Times New Roman" w:hAnsi="Times New Roman"/>
          <w:sz w:val="26"/>
        </w:rPr>
        <w:t xml:space="preserve">  3.1. SCD Type 2 и append-only event log</w:t>
        <w:tab/>
        <w:t>13</w:t>
      </w:r>
    </w:p>
    <w:p>
      <w:pPr>
        <w:tabs>
          <w:tab w:val="right" w:leader="dot" w:pos="9350"/>
        </w:tabs>
        <w:spacing w:after="40"/>
      </w:pPr>
      <w:r>
        <w:rPr>
          <w:rFonts w:ascii="Times New Roman" w:hAnsi="Times New Roman"/>
          <w:sz w:val="26"/>
        </w:rPr>
        <w:t xml:space="preserve">  3.2. Схема данных ClickHouse</w:t>
        <w:tab/>
        <w:t>14</w:t>
      </w:r>
    </w:p>
    <w:p>
      <w:pPr>
        <w:tabs>
          <w:tab w:val="right" w:leader="dot" w:pos="9350"/>
        </w:tabs>
        <w:spacing w:after="40"/>
      </w:pPr>
      <w:r>
        <w:rPr>
          <w:rFonts w:ascii="Times New Roman" w:hAnsi="Times New Roman"/>
          <w:sz w:val="26"/>
        </w:rPr>
        <w:t xml:space="preserve">  3.3. Корректность восстановления состояния</w:t>
        <w:tab/>
        <w:t>15</w:t>
      </w:r>
    </w:p>
    <w:p>
      <w:pPr>
        <w:tabs>
          <w:tab w:val="right" w:leader="dot" w:pos="9350"/>
        </w:tabs>
        <w:spacing w:after="40"/>
      </w:pPr>
      <w:r>
        <w:rPr>
          <w:rFonts w:ascii="Times New Roman" w:hAnsi="Times New Roman"/>
          <w:sz w:val="26"/>
        </w:rPr>
        <w:t>Глава 4. Реализация конвейера</w:t>
        <w:tab/>
        <w:t>15</w:t>
      </w:r>
    </w:p>
    <w:p>
      <w:pPr>
        <w:tabs>
          <w:tab w:val="right" w:leader="dot" w:pos="9350"/>
        </w:tabs>
        <w:spacing w:after="40"/>
      </w:pPr>
      <w:r>
        <w:rPr>
          <w:rFonts w:ascii="Times New Roman" w:hAnsi="Times New Roman"/>
          <w:sz w:val="26"/>
        </w:rPr>
        <w:t xml:space="preserve">  4.1. Структура проекта и технологический стек</w:t>
        <w:tab/>
        <w:t>15</w:t>
      </w:r>
    </w:p>
    <w:p>
      <w:pPr>
        <w:tabs>
          <w:tab w:val="right" w:leader="dot" w:pos="9350"/>
        </w:tabs>
        <w:spacing w:after="40"/>
      </w:pPr>
      <w:r>
        <w:rPr>
          <w:rFonts w:ascii="Times New Roman" w:hAnsi="Times New Roman"/>
          <w:sz w:val="26"/>
        </w:rPr>
        <w:t xml:space="preserve">  4.2. Операторы обработки: валидация, обогащение, SCD merge</w:t>
        <w:tab/>
        <w:t>16</w:t>
      </w:r>
    </w:p>
    <w:p>
      <w:pPr>
        <w:tabs>
          <w:tab w:val="right" w:leader="dot" w:pos="9350"/>
        </w:tabs>
        <w:spacing w:after="40"/>
      </w:pPr>
      <w:r>
        <w:rPr>
          <w:rFonts w:ascii="Times New Roman" w:hAnsi="Times New Roman"/>
          <w:sz w:val="26"/>
        </w:rPr>
        <w:t xml:space="preserve">  4.3. Дедупликация и гарантии exactly-once</w:t>
        <w:tab/>
        <w:t>18</w:t>
      </w:r>
    </w:p>
    <w:p>
      <w:pPr>
        <w:tabs>
          <w:tab w:val="right" w:leader="dot" w:pos="9350"/>
        </w:tabs>
        <w:spacing w:after="40"/>
      </w:pPr>
      <w:r>
        <w:rPr>
          <w:rFonts w:ascii="Times New Roman" w:hAnsi="Times New Roman"/>
          <w:sz w:val="26"/>
        </w:rPr>
        <w:t xml:space="preserve">  4.4. Отказоустойчивость и эксплуатационные сценарии</w:t>
        <w:tab/>
        <w:t>19</w:t>
      </w:r>
    </w:p>
    <w:p>
      <w:pPr>
        <w:tabs>
          <w:tab w:val="right" w:leader="dot" w:pos="9350"/>
        </w:tabs>
        <w:spacing w:after="40"/>
      </w:pPr>
      <w:r>
        <w:rPr>
          <w:rFonts w:ascii="Times New Roman" w:hAnsi="Times New Roman"/>
          <w:sz w:val="26"/>
        </w:rPr>
        <w:t>Глава 5. Качество данных и наблюдаемость</w:t>
        <w:tab/>
        <w:t>19</w:t>
      </w:r>
    </w:p>
    <w:p>
      <w:pPr>
        <w:tabs>
          <w:tab w:val="right" w:leader="dot" w:pos="9350"/>
        </w:tabs>
        <w:spacing w:after="40"/>
      </w:pPr>
      <w:r>
        <w:rPr>
          <w:rFonts w:ascii="Times New Roman" w:hAnsi="Times New Roman"/>
          <w:sz w:val="26"/>
        </w:rPr>
        <w:t xml:space="preserve">  5.1. Трёхуровневые DQ-проверки</w:t>
        <w:tab/>
        <w:t>19</w:t>
      </w:r>
    </w:p>
    <w:p>
      <w:pPr>
        <w:tabs>
          <w:tab w:val="right" w:leader="dot" w:pos="9350"/>
        </w:tabs>
        <w:spacing w:after="40"/>
      </w:pPr>
      <w:r>
        <w:rPr>
          <w:rFonts w:ascii="Times New Roman" w:hAnsi="Times New Roman"/>
          <w:sz w:val="26"/>
        </w:rPr>
        <w:t xml:space="preserve">  5.2. Мониторинг (Prometheus + Grafana)</w:t>
        <w:tab/>
        <w:t>20</w:t>
      </w:r>
    </w:p>
    <w:p>
      <w:pPr>
        <w:tabs>
          <w:tab w:val="right" w:leader="dot" w:pos="9350"/>
        </w:tabs>
        <w:spacing w:after="40"/>
      </w:pPr>
      <w:r>
        <w:rPr>
          <w:rFonts w:ascii="Times New Roman" w:hAnsi="Times New Roman"/>
          <w:sz w:val="26"/>
        </w:rPr>
        <w:t>Глава 6. Тестирование</w:t>
        <w:tab/>
        <w:t>21</w:t>
      </w:r>
    </w:p>
    <w:p>
      <w:pPr>
        <w:tabs>
          <w:tab w:val="right" w:leader="dot" w:pos="9350"/>
        </w:tabs>
        <w:spacing w:after="40"/>
      </w:pPr>
      <w:r>
        <w:rPr>
          <w:rFonts w:ascii="Times New Roman" w:hAnsi="Times New Roman"/>
          <w:sz w:val="26"/>
        </w:rPr>
        <w:t xml:space="preserve">  6.1. Стратегия тестирования</w:t>
        <w:tab/>
        <w:t>21</w:t>
      </w:r>
    </w:p>
    <w:p>
      <w:pPr>
        <w:tabs>
          <w:tab w:val="right" w:leader="dot" w:pos="9350"/>
        </w:tabs>
        <w:spacing w:after="40"/>
      </w:pPr>
      <w:r>
        <w:rPr>
          <w:rFonts w:ascii="Times New Roman" w:hAnsi="Times New Roman"/>
          <w:sz w:val="26"/>
        </w:rPr>
        <w:t xml:space="preserve">  6.2. Функциональные тест-кейсы</w:t>
        <w:tab/>
        <w:t>21</w:t>
      </w:r>
    </w:p>
    <w:p>
      <w:pPr>
        <w:tabs>
          <w:tab w:val="right" w:leader="dot" w:pos="9350"/>
        </w:tabs>
        <w:spacing w:after="40"/>
      </w:pPr>
      <w:r>
        <w:rPr>
          <w:rFonts w:ascii="Times New Roman" w:hAnsi="Times New Roman"/>
          <w:sz w:val="26"/>
        </w:rPr>
        <w:t xml:space="preserve">  6.3. Нагрузочное тестирование</w:t>
        <w:tab/>
        <w:t>22</w:t>
      </w:r>
    </w:p>
    <w:p>
      <w:pPr>
        <w:tabs>
          <w:tab w:val="right" w:leader="dot" w:pos="9350"/>
        </w:tabs>
        <w:spacing w:after="40"/>
      </w:pPr>
      <w:r>
        <w:rPr>
          <w:rFonts w:ascii="Times New Roman" w:hAnsi="Times New Roman"/>
          <w:sz w:val="26"/>
        </w:rPr>
        <w:t xml:space="preserve">  6.4. Достоверность результатов и ограничения эксперимента</w:t>
        <w:tab/>
        <w:t>24</w:t>
      </w:r>
    </w:p>
    <w:p>
      <w:pPr>
        <w:tabs>
          <w:tab w:val="right" w:leader="dot" w:pos="9350"/>
        </w:tabs>
        <w:spacing w:after="40"/>
      </w:pPr>
      <w:r>
        <w:rPr>
          <w:rFonts w:ascii="Times New Roman" w:hAnsi="Times New Roman"/>
          <w:sz w:val="26"/>
        </w:rPr>
        <w:t>Заключение</w:t>
        <w:tab/>
        <w:t>24</w:t>
      </w:r>
    </w:p>
    <w:p>
      <w:pPr>
        <w:tabs>
          <w:tab w:val="right" w:leader="dot" w:pos="9350"/>
        </w:tabs>
        <w:spacing w:after="40"/>
      </w:pPr>
      <w:r>
        <w:rPr>
          <w:rFonts w:ascii="Times New Roman" w:hAnsi="Times New Roman"/>
          <w:sz w:val="26"/>
        </w:rPr>
        <w:t>Список литературы</w:t>
        <w:tab/>
        <w:t>25</w:t>
      </w:r>
    </w:p>
    <w:p>
      <w:pPr>
        <w:tabs>
          <w:tab w:val="right" w:leader="dot" w:pos="9350"/>
        </w:tabs>
        <w:spacing w:after="40"/>
      </w:pPr>
      <w:r>
        <w:rPr>
          <w:rFonts w:ascii="Times New Roman" w:hAnsi="Times New Roman"/>
          <w:sz w:val="26"/>
        </w:rPr>
        <w:t>Приложение 1. Репозиторий GitHub и структура проекта</w:t>
        <w:tab/>
        <w:t>27</w:t>
      </w:r>
    </w:p>
    <w:p>
      <w:pPr>
        <w:tabs>
          <w:tab w:val="right" w:leader="dot" w:pos="9350"/>
        </w:tabs>
        <w:spacing w:after="40"/>
      </w:pPr>
      <w:r>
        <w:rPr>
          <w:rFonts w:ascii="Times New Roman" w:hAnsi="Times New Roman"/>
          <w:sz w:val="26"/>
        </w:rPr>
        <w:t>Приложение 2. Глоссарий</w:t>
        <w:tab/>
        <w:t>27</w:t>
      </w:r>
    </w:p>
    <w:p>
      <w:r>
        <w:br w:type="page"/>
      </w:r>
    </w:p>
    <w:p>
      <w:pPr>
        <w:spacing w:before="240" w:after="120"/>
        <w:jc w:val="center"/>
      </w:pPr>
      <w:r>
        <w:rPr>
          <w:rFonts w:ascii="Times New Roman" w:hAnsi="Times New Roman"/>
          <w:b/>
          <w:sz w:val="32"/>
        </w:rPr>
        <w:t>ВВЕДЕНИЕ</w:t>
      </w:r>
    </w:p>
    <w:p>
      <w:pPr>
        <w:spacing w:before="0" w:after="120"/>
        <w:ind w:firstLine="709"/>
      </w:pPr>
      <w:r>
        <w:rPr>
          <w:rFonts w:ascii="Times New Roman" w:hAnsi="Times New Roman"/>
          <w:b w:val="0"/>
          <w:i w:val="0"/>
          <w:sz w:val="26"/>
        </w:rPr>
        <w:t>Платёжные операции в современных финансовых системах генерируют непрерывный поток событий: инициация платежа, авторизация, клиринг, возврат, отмена. Традиционный подход к интеграции — ночная пакетная загрузка (batch ETL) — обеспечивает поступление данных в аналитические системы с задержкой от нескольких часов до суток. Это неприемлемо для задач антифрода, регуляторной отчётности в режиме реального времени и оперативного мониторинга.</w:t>
      </w:r>
    </w:p>
    <w:p>
      <w:pPr>
        <w:spacing w:before="0" w:after="120"/>
        <w:ind w:firstLine="709"/>
      </w:pPr>
      <w:r>
        <w:rPr>
          <w:rFonts w:ascii="Times New Roman" w:hAnsi="Times New Roman"/>
          <w:b w:val="0"/>
          <w:i w:val="0"/>
          <w:sz w:val="26"/>
        </w:rPr>
        <w:t>Цель данной работы — разработать конвейер данных, который принимает события о платежах из одного или нескольких источников, обрабатывает и нормализует их, поставляет результат потребителям с задержкой не более 30 секунд от момента возникновения события и сохраняет полную историю изменений каждого платежа для аудита и аналитики.</w:t>
      </w:r>
    </w:p>
    <w:p>
      <w:pPr>
        <w:spacing w:before="0" w:after="120"/>
        <w:ind w:firstLine="709"/>
      </w:pPr>
      <w:r>
        <w:rPr>
          <w:rFonts w:ascii="Times New Roman" w:hAnsi="Times New Roman"/>
          <w:b w:val="0"/>
          <w:i w:val="0"/>
          <w:sz w:val="26"/>
        </w:rPr>
        <w:t>Актуальность работы обусловлена двумя факторами. Во-первых, требования регулятора (Банк России) к оперативности предоставления данных ужесточаются: отчётность по подозрительным операциям должна формироваться в режиме NRT. Во-вторых, классические batch-решения не масштабируются до нужного уровня оперативности без принципиального пересмотра архитектуры.</w:t>
      </w:r>
    </w:p>
    <w:p>
      <w:pPr>
        <w:spacing w:before="0" w:after="120"/>
        <w:ind w:firstLine="709"/>
      </w:pPr>
      <w:r>
        <w:rPr>
          <w:rFonts w:ascii="Times New Roman" w:hAnsi="Times New Roman"/>
          <w:b w:val="0"/>
          <w:i w:val="0"/>
          <w:sz w:val="26"/>
        </w:rPr>
        <w:t>Практическая и инженерная ценность работы заключается в следующем: разработана и верифицирована композитная стратегия дедупликации на трёх уровнях (Kafka idempotent producer, Flink MapState с TTL, ClickHouse ReplacingMergeTree), обеспечивающая effectively-exactly-once семантику без полного exactly-once в каждом компоненте по отдельности. Реализация объединяет SCD2-хранение истории и потоковую обработку в единой Kappa-архитектуре применительно к платёжным данным.</w:t>
      </w:r>
    </w:p>
    <w:p>
      <w:pPr>
        <w:spacing w:before="0" w:after="120"/>
        <w:ind w:firstLine="709"/>
      </w:pPr>
      <w:r>
        <w:rPr>
          <w:rFonts w:ascii="Times New Roman" w:hAnsi="Times New Roman"/>
          <w:b w:val="0"/>
          <w:i w:val="0"/>
          <w:sz w:val="26"/>
        </w:rPr>
        <w:t>Структура работы. Глава 1 содержит обзор литературы и анализ аналогов. Глава 2 описывает постановку задачи и архитектурные решения. Глава 3 посвящена проектированию хранения истории. Глава 4 — реализации конвейера. Глава 5 — качеству данных и наблюдаемости. Глава 6 — тестированию и результатам измерений. В Заключении приведены итоги работы и направления дальнейшего развития.</w:t>
      </w:r>
    </w:p>
    <w:p>
      <w:r>
        <w:br w:type="page"/>
      </w:r>
    </w:p>
    <w:p>
      <w:pPr>
        <w:spacing w:before="240" w:after="120"/>
        <w:jc w:val="center"/>
      </w:pPr>
      <w:r>
        <w:rPr>
          <w:rFonts w:ascii="Times New Roman" w:hAnsi="Times New Roman"/>
          <w:b/>
          <w:sz w:val="32"/>
        </w:rPr>
        <w:t>ГЛАВА 1. ОБЗОР ЛИТЕРАТУРЫ И АНАЛИЗ СУЩЕСТВУЮЩИХ РЕШЕНИЙ</w:t>
      </w:r>
    </w:p>
    <w:p>
      <w:pPr>
        <w:spacing w:before="240" w:after="120"/>
      </w:pPr>
      <w:r>
        <w:rPr>
          <w:rFonts w:ascii="Times New Roman" w:hAnsi="Times New Roman"/>
          <w:b/>
          <w:sz w:val="28"/>
        </w:rPr>
        <w:t>1.1. Архитектурные паттерны потоковой обработки</w:t>
      </w:r>
    </w:p>
    <w:p>
      <w:pPr>
        <w:spacing w:before="0" w:after="120"/>
        <w:ind w:firstLine="709"/>
      </w:pPr>
      <w:r>
        <w:rPr>
          <w:rFonts w:ascii="Times New Roman" w:hAnsi="Times New Roman"/>
          <w:b w:val="0"/>
          <w:i w:val="0"/>
          <w:sz w:val="26"/>
        </w:rPr>
        <w:t>Для построения NRT-систем рассматриваются три основных архитектурных паттерна.</w:t>
      </w:r>
    </w:p>
    <w:p>
      <w:pPr>
        <w:spacing w:before="0" w:after="120"/>
        <w:ind w:firstLine="709"/>
      </w:pPr>
      <w:r>
        <w:rPr>
          <w:rFonts w:ascii="Times New Roman" w:hAnsi="Times New Roman"/>
          <w:b w:val="0"/>
          <w:i w:val="0"/>
          <w:sz w:val="26"/>
        </w:rPr>
        <w:t>Lambda-архитектура [Marz, 2015] разделяет обработку на два независимых слоя: batch layer (периодический полный пересчёт) и speed layer (обработка в реальном времени). Serving layer объединяет результаты. Недостаток — двойная кодовая база и сложность синхронизации слоёв.</w:t>
      </w:r>
    </w:p>
    <w:p>
      <w:pPr>
        <w:spacing w:before="0" w:after="120"/>
        <w:ind w:firstLine="709"/>
      </w:pPr>
      <w:r>
        <w:rPr>
          <w:rFonts w:ascii="Times New Roman" w:hAnsi="Times New Roman"/>
          <w:b w:val="0"/>
          <w:i w:val="0"/>
          <w:sz w:val="26"/>
        </w:rPr>
        <w:t>Kappa-архитектура [Kreps, 2014] упрощает Lambda: единственный потоковый слой работает как для «живого» потока, так и для исторического replay. Брокер сообщений хранит лог событий достаточно долго для повторной обработки. Данный паттерн является оптимальным для задач NRT-пайплайнов, где нет необходимости в независимых batch-агрегатах [Zhang et al., 2025].</w:t>
      </w:r>
    </w:p>
    <w:p>
      <w:pPr>
        <w:spacing w:before="0" w:after="120"/>
        <w:ind w:firstLine="709"/>
      </w:pPr>
      <w:r>
        <w:rPr>
          <w:rFonts w:ascii="Times New Roman" w:hAnsi="Times New Roman"/>
          <w:b w:val="0"/>
          <w:i w:val="0"/>
          <w:sz w:val="26"/>
        </w:rPr>
        <w:t>Event-Driven Pipeline является частным случаем Kappa, ориентированным на обработку отдельных событий без необходимости агрегации по большим окнам. Исследования Gürcan &amp; Berigel [2018] систематизируют lifecycle-модель: ingestion → transport → processing → storing → querying → visualization.</w:t>
      </w:r>
    </w:p>
    <w:p>
      <w:pPr>
        <w:spacing w:before="240" w:after="120"/>
      </w:pPr>
      <w:r>
        <w:rPr>
          <w:rFonts w:ascii="Times New Roman" w:hAnsi="Times New Roman"/>
          <w:b/>
          <w:sz w:val="28"/>
        </w:rPr>
        <w:t>1.2. Обзор инструментов и их сравнение</w:t>
      </w:r>
    </w:p>
    <w:p>
      <w:pPr>
        <w:spacing w:before="0" w:after="120"/>
      </w:pPr>
      <w:r>
        <w:rPr>
          <w:rFonts w:ascii="Times New Roman" w:hAnsi="Times New Roman"/>
          <w:b/>
          <w:i w:val="0"/>
          <w:sz w:val="26"/>
        </w:rPr>
        <w:t>Брокеры сообщений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51"/>
        <w:gridCol w:w="2051"/>
        <w:gridCol w:w="2051"/>
        <w:gridCol w:w="2051"/>
        <w:gridCol w:w="2051"/>
      </w:tblGrid>
      <w:tr>
        <w:tc>
          <w:tcPr>
            <w:tcW w:type="dxa" w:w="1984"/>
          </w:tcPr>
          <w:p>
            <w:r>
              <w:rPr>
                <w:rFonts w:ascii="Times New Roman" w:hAnsi="Times New Roman"/>
                <w:b/>
                <w:sz w:val="22"/>
              </w:rPr>
              <w:t>Инструмент</w:t>
            </w:r>
          </w:p>
        </w:tc>
        <w:tc>
          <w:tcPr>
            <w:tcW w:type="dxa" w:w="1417"/>
          </w:tcPr>
          <w:p>
            <w:r>
              <w:rPr>
                <w:rFonts w:ascii="Times New Roman" w:hAnsi="Times New Roman"/>
                <w:b/>
                <w:sz w:val="22"/>
              </w:rPr>
              <w:t>Задержка p99</w:t>
            </w:r>
          </w:p>
        </w:tc>
        <w:tc>
          <w:tcPr>
            <w:tcW w:type="dxa" w:w="1984"/>
          </w:tcPr>
          <w:p>
            <w:r>
              <w:rPr>
                <w:rFonts w:ascii="Times New Roman" w:hAnsi="Times New Roman"/>
                <w:b/>
                <w:sz w:val="22"/>
              </w:rPr>
              <w:t>Replay</w:t>
            </w:r>
          </w:p>
        </w:tc>
        <w:tc>
          <w:tcPr>
            <w:tcW w:type="dxa" w:w="2835"/>
          </w:tcPr>
          <w:p>
            <w:r>
              <w:rPr>
                <w:rFonts w:ascii="Times New Roman" w:hAnsi="Times New Roman"/>
                <w:b/>
                <w:sz w:val="22"/>
              </w:rPr>
              <w:t>Экосистема</w:t>
            </w:r>
          </w:p>
        </w:tc>
        <w:tc>
          <w:tcPr>
            <w:tcW w:type="dxa" w:w="1134"/>
          </w:tcPr>
          <w:p>
            <w:r>
              <w:rPr>
                <w:rFonts w:ascii="Times New Roman" w:hAnsi="Times New Roman"/>
                <w:b/>
                <w:sz w:val="22"/>
              </w:rPr>
              <w:t>Выбор</w:t>
            </w:r>
          </w:p>
        </w:tc>
      </w:tr>
      <w:tr>
        <w:tc>
          <w:tcPr>
            <w:tcW w:type="dxa" w:w="1984"/>
          </w:tcPr>
          <w:p>
            <w:r>
              <w:rPr>
                <w:rFonts w:ascii="Times New Roman" w:hAnsi="Times New Roman"/>
                <w:sz w:val="22"/>
              </w:rPr>
              <w:t>Apache Kafka 3.x</w:t>
            </w:r>
          </w:p>
        </w:tc>
        <w:tc>
          <w:tcPr>
            <w:tcW w:type="dxa" w:w="1417"/>
          </w:tcPr>
          <w:p>
            <w:r>
              <w:rPr>
                <w:rFonts w:ascii="Times New Roman" w:hAnsi="Times New Roman"/>
                <w:sz w:val="22"/>
              </w:rPr>
              <w:t>5–15 мс</w:t>
            </w:r>
          </w:p>
        </w:tc>
        <w:tc>
          <w:tcPr>
            <w:tcW w:type="dxa" w:w="1984"/>
          </w:tcPr>
          <w:p>
            <w:r>
              <w:rPr>
                <w:rFonts w:ascii="Times New Roman" w:hAnsi="Times New Roman"/>
                <w:sz w:val="22"/>
              </w:rPr>
              <w:t>Нативно (offset reset)</w:t>
            </w:r>
          </w:p>
        </w:tc>
        <w:tc>
          <w:tcPr>
            <w:tcW w:type="dxa" w:w="2835"/>
          </w:tcPr>
          <w:p>
            <w:r>
              <w:rPr>
                <w:rFonts w:ascii="Times New Roman" w:hAnsi="Times New Roman"/>
                <w:sz w:val="22"/>
              </w:rPr>
              <w:t>Kafka Connect, Streams, Schema Registry</w:t>
            </w:r>
          </w:p>
        </w:tc>
        <w:tc>
          <w:tcPr>
            <w:tcW w:type="dxa" w:w="1134"/>
          </w:tcPr>
          <w:p>
            <w:r>
              <w:rPr>
                <w:rFonts w:ascii="Times New Roman" w:hAnsi="Times New Roman"/>
                <w:sz w:val="22"/>
              </w:rPr>
              <w:t>✅ Выбран</w:t>
            </w:r>
          </w:p>
        </w:tc>
      </w:tr>
      <w:tr>
        <w:tc>
          <w:tcPr>
            <w:tcW w:type="dxa" w:w="1984"/>
          </w:tcPr>
          <w:p>
            <w:r>
              <w:rPr>
                <w:rFonts w:ascii="Times New Roman" w:hAnsi="Times New Roman"/>
                <w:sz w:val="22"/>
              </w:rPr>
              <w:t>Apache Pulsar</w:t>
            </w:r>
          </w:p>
        </w:tc>
        <w:tc>
          <w:tcPr>
            <w:tcW w:type="dxa" w:w="1417"/>
          </w:tcPr>
          <w:p>
            <w:r>
              <w:rPr>
                <w:rFonts w:ascii="Times New Roman" w:hAnsi="Times New Roman"/>
                <w:sz w:val="22"/>
              </w:rPr>
              <w:t>5–15 мс</w:t>
            </w:r>
          </w:p>
        </w:tc>
        <w:tc>
          <w:tcPr>
            <w:tcW w:type="dxa" w:w="1984"/>
          </w:tcPr>
          <w:p>
            <w:r>
              <w:rPr>
                <w:rFonts w:ascii="Times New Roman" w:hAnsi="Times New Roman"/>
                <w:sz w:val="22"/>
              </w:rPr>
              <w:t>Нативно (tiered storage)</w:t>
            </w:r>
          </w:p>
        </w:tc>
        <w:tc>
          <w:tcPr>
            <w:tcW w:type="dxa" w:w="2835"/>
          </w:tcPr>
          <w:p>
            <w:r>
              <w:rPr>
                <w:rFonts w:ascii="Times New Roman" w:hAnsi="Times New Roman"/>
                <w:sz w:val="22"/>
              </w:rPr>
              <w:t>Активная, меньше Kafka</w:t>
            </w:r>
          </w:p>
        </w:tc>
        <w:tc>
          <w:tcPr>
            <w:tcW w:type="dxa" w:w="1134"/>
          </w:tcPr>
          <w:p>
            <w:r>
              <w:rPr>
                <w:rFonts w:ascii="Times New Roman" w:hAnsi="Times New Roman"/>
                <w:sz w:val="22"/>
              </w:rPr>
              <w:t>—</w:t>
            </w:r>
          </w:p>
        </w:tc>
      </w:tr>
      <w:tr>
        <w:tc>
          <w:tcPr>
            <w:tcW w:type="dxa" w:w="1984"/>
          </w:tcPr>
          <w:p>
            <w:r>
              <w:rPr>
                <w:rFonts w:ascii="Times New Roman" w:hAnsi="Times New Roman"/>
                <w:sz w:val="22"/>
              </w:rPr>
              <w:t>RabbitMQ</w:t>
            </w:r>
          </w:p>
        </w:tc>
        <w:tc>
          <w:tcPr>
            <w:tcW w:type="dxa" w:w="1417"/>
          </w:tcPr>
          <w:p>
            <w:r>
              <w:rPr>
                <w:rFonts w:ascii="Times New Roman" w:hAnsi="Times New Roman"/>
                <w:sz w:val="22"/>
              </w:rPr>
              <w:t>1–5 мс</w:t>
            </w:r>
          </w:p>
        </w:tc>
        <w:tc>
          <w:tcPr>
            <w:tcW w:type="dxa" w:w="1984"/>
          </w:tcPr>
          <w:p>
            <w:r>
              <w:rPr>
                <w:rFonts w:ascii="Times New Roman" w:hAnsi="Times New Roman"/>
                <w:sz w:val="22"/>
              </w:rPr>
              <w:t>Ограниченно</w:t>
            </w:r>
          </w:p>
        </w:tc>
        <w:tc>
          <w:tcPr>
            <w:tcW w:type="dxa" w:w="2835"/>
          </w:tcPr>
          <w:p>
            <w:r>
              <w:rPr>
                <w:rFonts w:ascii="Times New Roman" w:hAnsi="Times New Roman"/>
                <w:sz w:val="22"/>
              </w:rPr>
              <w:t>Умеренная</w:t>
            </w:r>
          </w:p>
        </w:tc>
        <w:tc>
          <w:tcPr>
            <w:tcW w:type="dxa" w:w="1134"/>
          </w:tcPr>
          <w:p>
            <w:r>
              <w:rPr>
                <w:rFonts w:ascii="Times New Roman" w:hAnsi="Times New Roman"/>
                <w:sz w:val="22"/>
              </w:rPr>
              <w:t>—</w:t>
            </w:r>
          </w:p>
        </w:tc>
      </w:tr>
    </w:tbl>
    <w:p/>
    <w:p>
      <w:pPr>
        <w:spacing w:before="0" w:after="120"/>
      </w:pPr>
      <w:r>
        <w:rPr>
          <w:rFonts w:ascii="Times New Roman" w:hAnsi="Times New Roman"/>
          <w:b/>
          <w:i w:val="0"/>
          <w:sz w:val="26"/>
        </w:rPr>
        <w:t>Фреймворки потоковой обработки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51"/>
        <w:gridCol w:w="2051"/>
        <w:gridCol w:w="2051"/>
        <w:gridCol w:w="2051"/>
        <w:gridCol w:w="2051"/>
      </w:tblGrid>
      <w:tr>
        <w:tc>
          <w:tcPr>
            <w:tcW w:type="dxa" w:w="1984"/>
          </w:tcPr>
          <w:p>
            <w:r>
              <w:rPr>
                <w:rFonts w:ascii="Times New Roman" w:hAnsi="Times New Roman"/>
                <w:b/>
                <w:sz w:val="22"/>
              </w:rPr>
              <w:t>Фреймворк</w:t>
            </w:r>
          </w:p>
        </w:tc>
        <w:tc>
          <w:tcPr>
            <w:tcW w:type="dxa" w:w="1984"/>
          </w:tcPr>
          <w:p>
            <w:r>
              <w:rPr>
                <w:rFonts w:ascii="Times New Roman" w:hAnsi="Times New Roman"/>
                <w:b/>
                <w:sz w:val="22"/>
              </w:rPr>
              <w:t>Stateful API</w:t>
            </w:r>
          </w:p>
        </w:tc>
        <w:tc>
          <w:tcPr>
            <w:tcW w:type="dxa" w:w="2551"/>
          </w:tcPr>
          <w:p>
            <w:r>
              <w:rPr>
                <w:rFonts w:ascii="Times New Roman" w:hAnsi="Times New Roman"/>
                <w:b/>
                <w:sz w:val="22"/>
              </w:rPr>
              <w:t>Event-time</w:t>
            </w:r>
          </w:p>
        </w:tc>
        <w:tc>
          <w:tcPr>
            <w:tcW w:type="dxa" w:w="1984"/>
          </w:tcPr>
          <w:p>
            <w:r>
              <w:rPr>
                <w:rFonts w:ascii="Times New Roman" w:hAnsi="Times New Roman"/>
                <w:b/>
                <w:sz w:val="22"/>
              </w:rPr>
              <w:t>State Backend</w:t>
            </w:r>
          </w:p>
        </w:tc>
        <w:tc>
          <w:tcPr>
            <w:tcW w:type="dxa" w:w="1134"/>
          </w:tcPr>
          <w:p>
            <w:r>
              <w:rPr>
                <w:rFonts w:ascii="Times New Roman" w:hAnsi="Times New Roman"/>
                <w:b/>
                <w:sz w:val="22"/>
              </w:rPr>
              <w:t>Выбор</w:t>
            </w:r>
          </w:p>
        </w:tc>
      </w:tr>
      <w:tr>
        <w:tc>
          <w:tcPr>
            <w:tcW w:type="dxa" w:w="1984"/>
          </w:tcPr>
          <w:p>
            <w:r>
              <w:rPr>
                <w:rFonts w:ascii="Times New Roman" w:hAnsi="Times New Roman"/>
                <w:sz w:val="22"/>
              </w:rPr>
              <w:t>Apache Flink 1.19</w:t>
            </w:r>
          </w:p>
        </w:tc>
        <w:tc>
          <w:tcPr>
            <w:tcW w:type="dxa" w:w="1984"/>
          </w:tcPr>
          <w:p>
            <w:r>
              <w:rPr>
                <w:rFonts w:ascii="Times New Roman" w:hAnsi="Times New Roman"/>
                <w:sz w:val="22"/>
              </w:rPr>
              <w:t>KeyedProcessFunction</w:t>
            </w:r>
          </w:p>
        </w:tc>
        <w:tc>
          <w:tcPr>
            <w:tcW w:type="dxa" w:w="2551"/>
          </w:tcPr>
          <w:p>
            <w:r>
              <w:rPr>
                <w:rFonts w:ascii="Times New Roman" w:hAnsi="Times New Roman"/>
                <w:sz w:val="22"/>
              </w:rPr>
              <w:t>Watermark + BoundedOutOfOrder</w:t>
            </w:r>
          </w:p>
        </w:tc>
        <w:tc>
          <w:tcPr>
            <w:tcW w:type="dxa" w:w="1984"/>
          </w:tcPr>
          <w:p>
            <w:r>
              <w:rPr>
                <w:rFonts w:ascii="Times New Roman" w:hAnsi="Times New Roman"/>
                <w:sz w:val="22"/>
              </w:rPr>
              <w:t>RocksDB (incremental)</w:t>
            </w:r>
          </w:p>
        </w:tc>
        <w:tc>
          <w:tcPr>
            <w:tcW w:type="dxa" w:w="1134"/>
          </w:tcPr>
          <w:p>
            <w:r>
              <w:rPr>
                <w:rFonts w:ascii="Times New Roman" w:hAnsi="Times New Roman"/>
                <w:sz w:val="22"/>
              </w:rPr>
              <w:t>✅ Выбран</w:t>
            </w:r>
          </w:p>
        </w:tc>
      </w:tr>
      <w:tr>
        <w:tc>
          <w:tcPr>
            <w:tcW w:type="dxa" w:w="1984"/>
          </w:tcPr>
          <w:p>
            <w:r>
              <w:rPr>
                <w:rFonts w:ascii="Times New Roman" w:hAnsi="Times New Roman"/>
                <w:sz w:val="22"/>
              </w:rPr>
              <w:t>Spark Structured Streaming</w:t>
            </w:r>
          </w:p>
        </w:tc>
        <w:tc>
          <w:tcPr>
            <w:tcW w:type="dxa" w:w="1984"/>
          </w:tcPr>
          <w:p>
            <w:r>
              <w:rPr>
                <w:rFonts w:ascii="Times New Roman" w:hAnsi="Times New Roman"/>
                <w:sz w:val="22"/>
              </w:rPr>
              <w:t>mapGroupsWithState</w:t>
            </w:r>
          </w:p>
        </w:tc>
        <w:tc>
          <w:tcPr>
            <w:tcW w:type="dxa" w:w="2551"/>
          </w:tcPr>
          <w:p>
            <w:r>
              <w:rPr>
                <w:rFonts w:ascii="Times New Roman" w:hAnsi="Times New Roman"/>
                <w:sz w:val="22"/>
              </w:rPr>
              <w:t>Watermark (ограниченно)</w:t>
            </w:r>
          </w:p>
        </w:tc>
        <w:tc>
          <w:tcPr>
            <w:tcW w:type="dxa" w:w="1984"/>
          </w:tcPr>
          <w:p>
            <w:r>
              <w:rPr>
                <w:rFonts w:ascii="Times New Roman" w:hAnsi="Times New Roman"/>
                <w:sz w:val="22"/>
              </w:rPr>
              <w:t>Disk checkpoint</w:t>
            </w:r>
          </w:p>
        </w:tc>
        <w:tc>
          <w:tcPr>
            <w:tcW w:type="dxa" w:w="1134"/>
          </w:tcPr>
          <w:p>
            <w:r>
              <w:rPr>
                <w:rFonts w:ascii="Times New Roman" w:hAnsi="Times New Roman"/>
                <w:sz w:val="22"/>
              </w:rPr>
              <w:t>—</w:t>
            </w:r>
          </w:p>
        </w:tc>
      </w:tr>
      <w:tr>
        <w:tc>
          <w:tcPr>
            <w:tcW w:type="dxa" w:w="1984"/>
          </w:tcPr>
          <w:p>
            <w:r>
              <w:rPr>
                <w:rFonts w:ascii="Times New Roman" w:hAnsi="Times New Roman"/>
                <w:sz w:val="22"/>
              </w:rPr>
              <w:t>Kafka Streams</w:t>
            </w:r>
          </w:p>
        </w:tc>
        <w:tc>
          <w:tcPr>
            <w:tcW w:type="dxa" w:w="1984"/>
          </w:tcPr>
          <w:p>
            <w:r>
              <w:rPr>
                <w:rFonts w:ascii="Times New Roman" w:hAnsi="Times New Roman"/>
                <w:sz w:val="22"/>
              </w:rPr>
              <w:t>KTable</w:t>
            </w:r>
          </w:p>
        </w:tc>
        <w:tc>
          <w:tcPr>
            <w:tcW w:type="dxa" w:w="2551"/>
          </w:tcPr>
          <w:p>
            <w:r>
              <w:rPr>
                <w:rFonts w:ascii="Times New Roman" w:hAnsi="Times New Roman"/>
                <w:sz w:val="22"/>
              </w:rPr>
              <w:t>Нет (processing-time)</w:t>
            </w:r>
          </w:p>
        </w:tc>
        <w:tc>
          <w:tcPr>
            <w:tcW w:type="dxa" w:w="1984"/>
          </w:tcPr>
          <w:p>
            <w:r>
              <w:rPr>
                <w:rFonts w:ascii="Times New Roman" w:hAnsi="Times New Roman"/>
                <w:sz w:val="22"/>
              </w:rPr>
              <w:t>RocksDB</w:t>
            </w:r>
          </w:p>
        </w:tc>
        <w:tc>
          <w:tcPr>
            <w:tcW w:type="dxa" w:w="1134"/>
          </w:tcPr>
          <w:p>
            <w:r>
              <w:rPr>
                <w:rFonts w:ascii="Times New Roman" w:hAnsi="Times New Roman"/>
                <w:sz w:val="22"/>
              </w:rPr>
              <w:t>—</w:t>
            </w:r>
          </w:p>
        </w:tc>
      </w:tr>
    </w:tbl>
    <w:p/>
    <w:p>
      <w:pPr>
        <w:spacing w:before="0" w:after="120"/>
      </w:pPr>
      <w:r>
        <w:rPr>
          <w:rFonts w:ascii="Times New Roman" w:hAnsi="Times New Roman"/>
          <w:b/>
          <w:i w:val="0"/>
          <w:sz w:val="26"/>
        </w:rPr>
        <w:t>Аналитические хранилища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51"/>
        <w:gridCol w:w="2051"/>
        <w:gridCol w:w="2051"/>
        <w:gridCol w:w="2051"/>
        <w:gridCol w:w="2051"/>
      </w:tblGrid>
      <w:tr>
        <w:tc>
          <w:tcPr>
            <w:tcW w:type="dxa" w:w="1984"/>
          </w:tcPr>
          <w:p>
            <w:r>
              <w:rPr>
                <w:rFonts w:ascii="Times New Roman" w:hAnsi="Times New Roman"/>
                <w:b/>
                <w:sz w:val="22"/>
              </w:rPr>
              <w:t>СУБД</w:t>
            </w:r>
          </w:p>
        </w:tc>
        <w:tc>
          <w:tcPr>
            <w:tcW w:type="dxa" w:w="2551"/>
          </w:tcPr>
          <w:p>
            <w:r>
              <w:rPr>
                <w:rFonts w:ascii="Times New Roman" w:hAnsi="Times New Roman"/>
                <w:b/>
                <w:sz w:val="22"/>
              </w:rPr>
              <w:t>MergeTree / OLAP</w:t>
            </w:r>
          </w:p>
        </w:tc>
        <w:tc>
          <w:tcPr>
            <w:tcW w:type="dxa" w:w="1984"/>
          </w:tcPr>
          <w:p>
            <w:r>
              <w:rPr>
                <w:rFonts w:ascii="Times New Roman" w:hAnsi="Times New Roman"/>
                <w:b/>
                <w:sz w:val="22"/>
              </w:rPr>
              <w:t>Ingestion</w:t>
            </w:r>
          </w:p>
        </w:tc>
        <w:tc>
          <w:tcPr>
            <w:tcW w:type="dxa" w:w="1984"/>
          </w:tcPr>
          <w:p>
            <w:r>
              <w:rPr>
                <w:rFonts w:ascii="Times New Roman" w:hAnsi="Times New Roman"/>
                <w:b/>
                <w:sz w:val="22"/>
              </w:rPr>
              <w:t>Аналитика</w:t>
            </w:r>
          </w:p>
        </w:tc>
        <w:tc>
          <w:tcPr>
            <w:tcW w:type="dxa" w:w="1134"/>
          </w:tcPr>
          <w:p>
            <w:r>
              <w:rPr>
                <w:rFonts w:ascii="Times New Roman" w:hAnsi="Times New Roman"/>
                <w:b/>
                <w:sz w:val="22"/>
              </w:rPr>
              <w:t>Выбор</w:t>
            </w:r>
          </w:p>
        </w:tc>
      </w:tr>
      <w:tr>
        <w:tc>
          <w:tcPr>
            <w:tcW w:type="dxa" w:w="1984"/>
          </w:tcPr>
          <w:p>
            <w:r>
              <w:rPr>
                <w:rFonts w:ascii="Times New Roman" w:hAnsi="Times New Roman"/>
                <w:sz w:val="22"/>
              </w:rPr>
              <w:t>ClickHouse 24.x</w:t>
            </w:r>
          </w:p>
        </w:tc>
        <w:tc>
          <w:tcPr>
            <w:tcW w:type="dxa" w:w="2551"/>
          </w:tcPr>
          <w:p>
            <w:r>
              <w:rPr>
                <w:rFonts w:ascii="Times New Roman" w:hAnsi="Times New Roman"/>
                <w:sz w:val="22"/>
              </w:rPr>
              <w:t>ReplacingMergeTree, MergeTree</w:t>
            </w:r>
          </w:p>
        </w:tc>
        <w:tc>
          <w:tcPr>
            <w:tcW w:type="dxa" w:w="1984"/>
          </w:tcPr>
          <w:p>
            <w:r>
              <w:rPr>
                <w:rFonts w:ascii="Times New Roman" w:hAnsi="Times New Roman"/>
                <w:sz w:val="22"/>
              </w:rPr>
              <w:t>100K+ rows/s батчами</w:t>
            </w:r>
          </w:p>
        </w:tc>
        <w:tc>
          <w:tcPr>
            <w:tcW w:type="dxa" w:w="1984"/>
          </w:tcPr>
          <w:p>
            <w:r>
              <w:rPr>
                <w:rFonts w:ascii="Times New Roman" w:hAnsi="Times New Roman"/>
                <w:sz w:val="22"/>
              </w:rPr>
              <w:t>Векторизованное, SIMD</w:t>
            </w:r>
          </w:p>
        </w:tc>
        <w:tc>
          <w:tcPr>
            <w:tcW w:type="dxa" w:w="1134"/>
          </w:tcPr>
          <w:p>
            <w:r>
              <w:rPr>
                <w:rFonts w:ascii="Times New Roman" w:hAnsi="Times New Roman"/>
                <w:sz w:val="22"/>
              </w:rPr>
              <w:t>✅ Выбран</w:t>
            </w:r>
          </w:p>
        </w:tc>
      </w:tr>
      <w:tr>
        <w:tc>
          <w:tcPr>
            <w:tcW w:type="dxa" w:w="1984"/>
          </w:tcPr>
          <w:p>
            <w:r>
              <w:rPr>
                <w:rFonts w:ascii="Times New Roman" w:hAnsi="Times New Roman"/>
                <w:sz w:val="22"/>
              </w:rPr>
              <w:t>Apache Iceberg</w:t>
            </w:r>
          </w:p>
        </w:tc>
        <w:tc>
          <w:tcPr>
            <w:tcW w:type="dxa" w:w="2551"/>
          </w:tcPr>
          <w:p>
            <w:r>
              <w:rPr>
                <w:rFonts w:ascii="Times New Roman" w:hAnsi="Times New Roman"/>
                <w:sz w:val="22"/>
              </w:rPr>
              <w:t>Parquet + catalog</w:t>
            </w:r>
          </w:p>
        </w:tc>
        <w:tc>
          <w:tcPr>
            <w:tcW w:type="dxa" w:w="1984"/>
          </w:tcPr>
          <w:p>
            <w:r>
              <w:rPr>
                <w:rFonts w:ascii="Times New Roman" w:hAnsi="Times New Roman"/>
                <w:sz w:val="22"/>
              </w:rPr>
              <w:t>Slower streaming</w:t>
            </w:r>
          </w:p>
        </w:tc>
        <w:tc>
          <w:tcPr>
            <w:tcW w:type="dxa" w:w="1984"/>
          </w:tcPr>
          <w:p>
            <w:r>
              <w:rPr>
                <w:rFonts w:ascii="Times New Roman" w:hAnsi="Times New Roman"/>
                <w:sz w:val="22"/>
              </w:rPr>
              <w:t>Spark/Trino</w:t>
            </w:r>
          </w:p>
        </w:tc>
        <w:tc>
          <w:tcPr>
            <w:tcW w:type="dxa" w:w="1134"/>
          </w:tcPr>
          <w:p>
            <w:r>
              <w:rPr>
                <w:rFonts w:ascii="Times New Roman" w:hAnsi="Times New Roman"/>
                <w:sz w:val="22"/>
              </w:rPr>
              <w:t>—</w:t>
            </w:r>
          </w:p>
        </w:tc>
      </w:tr>
      <w:tr>
        <w:tc>
          <w:tcPr>
            <w:tcW w:type="dxa" w:w="1984"/>
          </w:tcPr>
          <w:p>
            <w:r>
              <w:rPr>
                <w:rFonts w:ascii="Times New Roman" w:hAnsi="Times New Roman"/>
                <w:sz w:val="22"/>
              </w:rPr>
              <w:t>PostgreSQL</w:t>
            </w:r>
          </w:p>
        </w:tc>
        <w:tc>
          <w:tcPr>
            <w:tcW w:type="dxa" w:w="2551"/>
          </w:tcPr>
          <w:p>
            <w:r>
              <w:rPr>
                <w:rFonts w:ascii="Times New Roman" w:hAnsi="Times New Roman"/>
                <w:sz w:val="22"/>
              </w:rPr>
              <w:t>Нет</w:t>
            </w:r>
          </w:p>
        </w:tc>
        <w:tc>
          <w:tcPr>
            <w:tcW w:type="dxa" w:w="1984"/>
          </w:tcPr>
          <w:p>
            <w:r>
              <w:rPr>
                <w:rFonts w:ascii="Times New Roman" w:hAnsi="Times New Roman"/>
                <w:sz w:val="22"/>
              </w:rPr>
              <w:t>Row-by-row</w:t>
            </w:r>
          </w:p>
        </w:tc>
        <w:tc>
          <w:tcPr>
            <w:tcW w:type="dxa" w:w="1984"/>
          </w:tcPr>
          <w:p>
            <w:r>
              <w:rPr>
                <w:rFonts w:ascii="Times New Roman" w:hAnsi="Times New Roman"/>
                <w:sz w:val="22"/>
              </w:rPr>
              <w:t>Медленно на OLAP</w:t>
            </w:r>
          </w:p>
        </w:tc>
        <w:tc>
          <w:tcPr>
            <w:tcW w:type="dxa" w:w="1134"/>
          </w:tcPr>
          <w:p>
            <w:r>
              <w:rPr>
                <w:rFonts w:ascii="Times New Roman" w:hAnsi="Times New Roman"/>
                <w:sz w:val="22"/>
              </w:rPr>
              <w:t>—</w:t>
            </w:r>
          </w:p>
        </w:tc>
      </w:tr>
    </w:tbl>
    <w:p>
      <w:pPr>
        <w:spacing w:before="240" w:after="120"/>
      </w:pPr>
      <w:r>
        <w:rPr>
          <w:rFonts w:ascii="Times New Roman" w:hAnsi="Times New Roman"/>
          <w:b/>
          <w:sz w:val="28"/>
        </w:rPr>
        <w:t>1.3. Обзор аналогов и позиционирование работы</w:t>
      </w:r>
    </w:p>
    <w:p>
      <w:pPr>
        <w:spacing w:before="0" w:after="120"/>
        <w:ind w:firstLine="709"/>
      </w:pPr>
      <w:r>
        <w:rPr>
          <w:rFonts w:ascii="Times New Roman" w:hAnsi="Times New Roman"/>
          <w:b w:val="0"/>
          <w:i w:val="0"/>
          <w:sz w:val="26"/>
        </w:rPr>
        <w:t>Ближайшим инженерным аналогом является работа Huang &amp; Zhongming [2024] «Near-real-time data pipeline using change data capture approach»: NRT-пайплайн для регуляторной отчётности по финансовым транзакциям на стеке Debezium → Kafka → Kafka Streams → ClickHouse. Измеренная задержка — 0.6 с среднее, throughput ~30 000 rec/s. Отличие данной работы: использование Apache Flink вместо Kafka Streams для поддержки stateful SCD2-логики (hashmap state, RocksDB — production-расширение), трёхуровневая дедупликация; late arrivals выделены как архитектурное ограничение прототипа.</w:t>
      </w:r>
    </w:p>
    <w:p>
      <w:pPr>
        <w:spacing w:before="0" w:after="120"/>
        <w:ind w:firstLine="709"/>
      </w:pPr>
      <w:r>
        <w:rPr>
          <w:rFonts w:ascii="Times New Roman" w:hAnsi="Times New Roman"/>
          <w:b w:val="0"/>
          <w:i w:val="0"/>
          <w:sz w:val="26"/>
        </w:rPr>
        <w:t>Saket et al. [2024] описывают продуктовую систему Kafka+Flink для join рекламных событий. Авторы демонстрируют 85% сокращение размера сообщений при переходе с JSON на Avro и снижение стоимости на 40%. Данная работа применяет аналогичный подход в контексте платёжных данных с акцентом на сохранение истории состояний (SCD2), что в указанной работе не рассматривалось.</w:t>
      </w:r>
    </w:p>
    <w:p>
      <w:pPr>
        <w:spacing w:before="0" w:after="120"/>
        <w:ind w:firstLine="709"/>
      </w:pPr>
      <w:r>
        <w:rPr>
          <w:rFonts w:ascii="Times New Roman" w:hAnsi="Times New Roman"/>
          <w:b w:val="0"/>
          <w:i w:val="0"/>
          <w:sz w:val="26"/>
        </w:rPr>
        <w:t>Kovalenko [2026] анализирует CDC-архитектуру для высоконагруженных платёжных платформ (PostgreSQL+Debezium+Kafka), однако не затрагивает вопросы потоковой трансформации, дедупликации и аналитического хранения с SCD2. Данная работа восполняет этот пробел.</w:t>
      </w:r>
    </w:p>
    <w:p>
      <w:r>
        <w:br w:type="page"/>
      </w:r>
    </w:p>
    <w:p>
      <w:pPr>
        <w:spacing w:before="240" w:after="120"/>
        <w:jc w:val="center"/>
      </w:pPr>
      <w:r>
        <w:rPr>
          <w:rFonts w:ascii="Times New Roman" w:hAnsi="Times New Roman"/>
          <w:b/>
          <w:sz w:val="32"/>
        </w:rPr>
        <w:t>ГЛАВА 2. ПОСТАНОВКА ЗАДАЧИ И ПРОЕКТИРОВАНИЕ СИСТЕМЫ</w:t>
      </w:r>
    </w:p>
    <w:p>
      <w:pPr>
        <w:spacing w:before="240" w:after="120"/>
      </w:pPr>
      <w:r>
        <w:rPr>
          <w:rFonts w:ascii="Times New Roman" w:hAnsi="Times New Roman"/>
          <w:b/>
          <w:sz w:val="28"/>
        </w:rPr>
        <w:t>2.1. Функциональные и нефункциональные требования</w:t>
      </w:r>
    </w:p>
    <w:p>
      <w:pPr>
        <w:spacing w:before="0" w:after="120"/>
        <w:ind w:firstLine="709"/>
      </w:pPr>
      <w:r>
        <w:rPr>
          <w:rFonts w:ascii="Times New Roman" w:hAnsi="Times New Roman"/>
          <w:b w:val="0"/>
          <w:i w:val="0"/>
          <w:sz w:val="26"/>
        </w:rPr>
        <w:t>Система должна решать следующие функциональные задачи.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1134"/>
          </w:tcPr>
          <w:p>
            <w:r>
              <w:rPr>
                <w:rFonts w:ascii="Times New Roman" w:hAnsi="Times New Roman"/>
                <w:b/>
                <w:sz w:val="22"/>
              </w:rPr>
              <w:t>ID</w:t>
            </w:r>
          </w:p>
        </w:tc>
        <w:tc>
          <w:tcPr>
            <w:tcW w:type="dxa" w:w="7937"/>
          </w:tcPr>
          <w:p>
            <w:r>
              <w:rPr>
                <w:rFonts w:ascii="Times New Roman" w:hAnsi="Times New Roman"/>
                <w:b/>
                <w:sz w:val="22"/>
              </w:rPr>
              <w:t>Требование</w:t>
            </w:r>
          </w:p>
        </w:tc>
      </w:tr>
      <w:tr>
        <w:tc>
          <w:tcPr>
            <w:tcW w:type="dxa" w:w="1134"/>
          </w:tcPr>
          <w:p>
            <w:r>
              <w:rPr>
                <w:rFonts w:ascii="Times New Roman" w:hAnsi="Times New Roman"/>
                <w:sz w:val="22"/>
              </w:rPr>
              <w:t>FR-01</w:t>
            </w:r>
          </w:p>
        </w:tc>
        <w:tc>
          <w:tcPr>
            <w:tcW w:type="dxa" w:w="7937"/>
          </w:tcPr>
          <w:p>
            <w:r>
              <w:rPr>
                <w:rFonts w:ascii="Times New Roman" w:hAnsi="Times New Roman"/>
                <w:sz w:val="22"/>
              </w:rPr>
              <w:t>Приём платёжных событий из внешних источников (CDC / Kafka-топик)</w:t>
            </w:r>
          </w:p>
        </w:tc>
      </w:tr>
      <w:tr>
        <w:tc>
          <w:tcPr>
            <w:tcW w:type="dxa" w:w="1134"/>
          </w:tcPr>
          <w:p>
            <w:r>
              <w:rPr>
                <w:rFonts w:ascii="Times New Roman" w:hAnsi="Times New Roman"/>
                <w:sz w:val="22"/>
              </w:rPr>
              <w:t>FR-02</w:t>
            </w:r>
          </w:p>
        </w:tc>
        <w:tc>
          <w:tcPr>
            <w:tcW w:type="dxa" w:w="7937"/>
          </w:tcPr>
          <w:p>
            <w:r>
              <w:rPr>
                <w:rFonts w:ascii="Times New Roman" w:hAnsi="Times New Roman"/>
                <w:sz w:val="22"/>
              </w:rPr>
              <w:t>Валидация каждого события по схеме перед дальнейшей обработкой</w:t>
            </w:r>
          </w:p>
        </w:tc>
      </w:tr>
      <w:tr>
        <w:tc>
          <w:tcPr>
            <w:tcW w:type="dxa" w:w="1134"/>
          </w:tcPr>
          <w:p>
            <w:r>
              <w:rPr>
                <w:rFonts w:ascii="Times New Roman" w:hAnsi="Times New Roman"/>
                <w:sz w:val="22"/>
              </w:rPr>
              <w:t>FR-03</w:t>
            </w:r>
          </w:p>
        </w:tc>
        <w:tc>
          <w:tcPr>
            <w:tcW w:type="dxa" w:w="7937"/>
          </w:tcPr>
          <w:p>
            <w:r>
              <w:rPr>
                <w:rFonts w:ascii="Times New Roman" w:hAnsi="Times New Roman"/>
                <w:sz w:val="22"/>
              </w:rPr>
              <w:t>Нормализация сумм транзакций к единой базовой валюте (RUB)</w:t>
            </w:r>
          </w:p>
        </w:tc>
      </w:tr>
      <w:tr>
        <w:tc>
          <w:tcPr>
            <w:tcW w:type="dxa" w:w="1134"/>
          </w:tcPr>
          <w:p>
            <w:r>
              <w:rPr>
                <w:rFonts w:ascii="Times New Roman" w:hAnsi="Times New Roman"/>
                <w:sz w:val="22"/>
              </w:rPr>
              <w:t>FR-04</w:t>
            </w:r>
          </w:p>
        </w:tc>
        <w:tc>
          <w:tcPr>
            <w:tcW w:type="dxa" w:w="7937"/>
          </w:tcPr>
          <w:p>
            <w:r>
              <w:rPr>
                <w:rFonts w:ascii="Times New Roman" w:hAnsi="Times New Roman"/>
                <w:sz w:val="22"/>
              </w:rPr>
              <w:t>Нормализация статусов платежей к единому внутреннему справочнику</w:t>
            </w:r>
          </w:p>
        </w:tc>
      </w:tr>
      <w:tr>
        <w:tc>
          <w:tcPr>
            <w:tcW w:type="dxa" w:w="1134"/>
          </w:tcPr>
          <w:p>
            <w:r>
              <w:rPr>
                <w:rFonts w:ascii="Times New Roman" w:hAnsi="Times New Roman"/>
                <w:sz w:val="22"/>
              </w:rPr>
              <w:t>FR-05</w:t>
            </w:r>
          </w:p>
        </w:tc>
        <w:tc>
          <w:tcPr>
            <w:tcW w:type="dxa" w:w="7937"/>
          </w:tcPr>
          <w:p>
            <w:r>
              <w:rPr>
                <w:rFonts w:ascii="Times New Roman" w:hAnsi="Times New Roman"/>
                <w:sz w:val="22"/>
              </w:rPr>
              <w:t>Поставка обработанных событий потребителям с задержкой NRT (SLA: p99 ≤ 30 с)</w:t>
            </w:r>
          </w:p>
        </w:tc>
      </w:tr>
      <w:tr>
        <w:tc>
          <w:tcPr>
            <w:tcW w:type="dxa" w:w="1134"/>
          </w:tcPr>
          <w:p>
            <w:r>
              <w:rPr>
                <w:rFonts w:ascii="Times New Roman" w:hAnsi="Times New Roman"/>
                <w:sz w:val="22"/>
              </w:rPr>
              <w:t>FR-06</w:t>
            </w:r>
          </w:p>
        </w:tc>
        <w:tc>
          <w:tcPr>
            <w:tcW w:type="dxa" w:w="7937"/>
          </w:tcPr>
          <w:p>
            <w:r>
              <w:rPr>
                <w:rFonts w:ascii="Times New Roman" w:hAnsi="Times New Roman"/>
                <w:sz w:val="22"/>
              </w:rPr>
              <w:t>Сохранение истории всех изменений состояния каждого платежа</w:t>
            </w:r>
          </w:p>
        </w:tc>
      </w:tr>
      <w:tr>
        <w:tc>
          <w:tcPr>
            <w:tcW w:type="dxa" w:w="1134"/>
          </w:tcPr>
          <w:p>
            <w:r>
              <w:rPr>
                <w:rFonts w:ascii="Times New Roman" w:hAnsi="Times New Roman"/>
                <w:sz w:val="22"/>
              </w:rPr>
              <w:t>FR-07</w:t>
            </w:r>
          </w:p>
        </w:tc>
        <w:tc>
          <w:tcPr>
            <w:tcW w:type="dxa" w:w="7937"/>
          </w:tcPr>
          <w:p>
            <w:r>
              <w:rPr>
                <w:rFonts w:ascii="Times New Roman" w:hAnsi="Times New Roman"/>
                <w:sz w:val="22"/>
              </w:rPr>
              <w:t>Поддержка point-in-time запросов: состояние платежа на любой момент времени</w:t>
            </w:r>
          </w:p>
        </w:tc>
      </w:tr>
      <w:tr>
        <w:tc>
          <w:tcPr>
            <w:tcW w:type="dxa" w:w="1134"/>
          </w:tcPr>
          <w:p>
            <w:r>
              <w:rPr>
                <w:rFonts w:ascii="Times New Roman" w:hAnsi="Times New Roman"/>
                <w:sz w:val="22"/>
              </w:rPr>
              <w:t>FR-08</w:t>
            </w:r>
          </w:p>
        </w:tc>
        <w:tc>
          <w:tcPr>
            <w:tcW w:type="dxa" w:w="7937"/>
          </w:tcPr>
          <w:p>
            <w:r>
              <w:rPr>
                <w:rFonts w:ascii="Times New Roman" w:hAnsi="Times New Roman"/>
                <w:sz w:val="22"/>
              </w:rPr>
              <w:t>Идемпотентная обработка: дублирующееся событие не создаёт дублирующуюся запись</w:t>
            </w:r>
          </w:p>
        </w:tc>
      </w:tr>
      <w:tr>
        <w:tc>
          <w:tcPr>
            <w:tcW w:type="dxa" w:w="1134"/>
          </w:tcPr>
          <w:p>
            <w:r>
              <w:rPr>
                <w:rFonts w:ascii="Times New Roman" w:hAnsi="Times New Roman"/>
                <w:sz w:val="22"/>
              </w:rPr>
              <w:t>FR-09</w:t>
            </w:r>
          </w:p>
        </w:tc>
        <w:tc>
          <w:tcPr>
            <w:tcW w:type="dxa" w:w="7937"/>
          </w:tcPr>
          <w:p>
            <w:r>
              <w:rPr>
                <w:rFonts w:ascii="Times New Roman" w:hAnsi="Times New Roman"/>
                <w:sz w:val="22"/>
              </w:rPr>
              <w:t>Направление невалидных событий в Dead Letter Queue (DLQ)</w:t>
            </w:r>
          </w:p>
        </w:tc>
      </w:tr>
      <w:tr>
        <w:tc>
          <w:tcPr>
            <w:tcW w:type="dxa" w:w="1134"/>
          </w:tcPr>
          <w:p>
            <w:r>
              <w:rPr>
                <w:rFonts w:ascii="Times New Roman" w:hAnsi="Times New Roman"/>
                <w:sz w:val="22"/>
              </w:rPr>
              <w:t>FR-10</w:t>
            </w:r>
          </w:p>
        </w:tc>
        <w:tc>
          <w:tcPr>
            <w:tcW w:type="dxa" w:w="7937"/>
          </w:tcPr>
          <w:p>
            <w:r>
              <w:rPr>
                <w:rFonts w:ascii="Times New Roman" w:hAnsi="Times New Roman"/>
                <w:sz w:val="22"/>
              </w:rPr>
              <w:t>Предоставление метрик задержки и пропускной способности</w:t>
            </w:r>
          </w:p>
        </w:tc>
      </w:tr>
    </w:tbl>
    <w:p/>
    <w:p>
      <w:pPr>
        <w:spacing w:before="0" w:after="120"/>
      </w:pPr>
      <w:r>
        <w:rPr>
          <w:rFonts w:ascii="Times New Roman" w:hAnsi="Times New Roman"/>
          <w:b/>
          <w:i w:val="0"/>
          <w:sz w:val="26"/>
        </w:rPr>
        <w:t>Нефункциональные требования: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19"/>
        <w:gridCol w:w="3419"/>
        <w:gridCol w:w="3419"/>
      </w:tblGrid>
      <w:tr>
        <w:tc>
          <w:tcPr>
            <w:tcW w:type="dxa" w:w="1134"/>
          </w:tcPr>
          <w:p>
            <w:r>
              <w:rPr>
                <w:rFonts w:ascii="Times New Roman" w:hAnsi="Times New Roman"/>
                <w:b/>
                <w:sz w:val="22"/>
              </w:rPr>
              <w:t>ID</w:t>
            </w:r>
          </w:p>
        </w:tc>
        <w:tc>
          <w:tcPr>
            <w:tcW w:type="dxa" w:w="4535"/>
          </w:tcPr>
          <w:p>
            <w:r>
              <w:rPr>
                <w:rFonts w:ascii="Times New Roman" w:hAnsi="Times New Roman"/>
                <w:b/>
                <w:sz w:val="22"/>
              </w:rPr>
              <w:t>Требование</w:t>
            </w:r>
          </w:p>
        </w:tc>
        <w:tc>
          <w:tcPr>
            <w:tcW w:type="dxa" w:w="3402"/>
          </w:tcPr>
          <w:p>
            <w:r>
              <w:rPr>
                <w:rFonts w:ascii="Times New Roman" w:hAnsi="Times New Roman"/>
                <w:b/>
                <w:sz w:val="22"/>
              </w:rPr>
              <w:t>Целевое значение</w:t>
            </w:r>
          </w:p>
        </w:tc>
      </w:tr>
      <w:tr>
        <w:tc>
          <w:tcPr>
            <w:tcW w:type="dxa" w:w="1134"/>
          </w:tcPr>
          <w:p>
            <w:r>
              <w:rPr>
                <w:rFonts w:ascii="Times New Roman" w:hAnsi="Times New Roman"/>
                <w:sz w:val="22"/>
              </w:rPr>
              <w:t>NFR-01</w:t>
            </w:r>
          </w:p>
        </w:tc>
        <w:tc>
          <w:tcPr>
            <w:tcW w:type="dxa" w:w="4535"/>
          </w:tcPr>
          <w:p>
            <w:r>
              <w:rPr>
                <w:rFonts w:ascii="Times New Roman" w:hAnsi="Times New Roman"/>
                <w:sz w:val="22"/>
              </w:rPr>
              <w:t>Задержка e2e (p99)</w:t>
            </w:r>
          </w:p>
        </w:tc>
        <w:tc>
          <w:tcPr>
            <w:tcW w:type="dxa" w:w="3402"/>
          </w:tcPr>
          <w:p>
            <w:r>
              <w:rPr>
                <w:rFonts w:ascii="Times New Roman" w:hAnsi="Times New Roman"/>
                <w:sz w:val="22"/>
              </w:rPr>
              <w:t>≤ 30 с</w:t>
            </w:r>
          </w:p>
        </w:tc>
      </w:tr>
      <w:tr>
        <w:tc>
          <w:tcPr>
            <w:tcW w:type="dxa" w:w="1134"/>
          </w:tcPr>
          <w:p>
            <w:r>
              <w:rPr>
                <w:rFonts w:ascii="Times New Roman" w:hAnsi="Times New Roman"/>
                <w:sz w:val="22"/>
              </w:rPr>
              <w:t>NFR-02</w:t>
            </w:r>
          </w:p>
        </w:tc>
        <w:tc>
          <w:tcPr>
            <w:tcW w:type="dxa" w:w="4535"/>
          </w:tcPr>
          <w:p>
            <w:r>
              <w:rPr>
                <w:rFonts w:ascii="Times New Roman" w:hAnsi="Times New Roman"/>
                <w:sz w:val="22"/>
              </w:rPr>
              <w:t>Пропускная способность (baseline)</w:t>
            </w:r>
          </w:p>
        </w:tc>
        <w:tc>
          <w:tcPr>
            <w:tcW w:type="dxa" w:w="3402"/>
          </w:tcPr>
          <w:p>
            <w:r>
              <w:rPr>
                <w:rFonts w:ascii="Times New Roman" w:hAnsi="Times New Roman"/>
                <w:sz w:val="22"/>
              </w:rPr>
              <w:t>≥ 200 событий/сек</w:t>
            </w:r>
          </w:p>
        </w:tc>
      </w:tr>
      <w:tr>
        <w:tc>
          <w:tcPr>
            <w:tcW w:type="dxa" w:w="1134"/>
          </w:tcPr>
          <w:p>
            <w:r>
              <w:rPr>
                <w:rFonts w:ascii="Times New Roman" w:hAnsi="Times New Roman"/>
                <w:sz w:val="22"/>
              </w:rPr>
              <w:t>NFR-03</w:t>
            </w:r>
          </w:p>
        </w:tc>
        <w:tc>
          <w:tcPr>
            <w:tcW w:type="dxa" w:w="4535"/>
          </w:tcPr>
          <w:p>
            <w:r>
              <w:rPr>
                <w:rFonts w:ascii="Times New Roman" w:hAnsi="Times New Roman"/>
                <w:sz w:val="22"/>
              </w:rPr>
              <w:t>Потеря данных при отказе компонента</w:t>
            </w:r>
          </w:p>
        </w:tc>
        <w:tc>
          <w:tcPr>
            <w:tcW w:type="dxa" w:w="3402"/>
          </w:tcPr>
          <w:p>
            <w:r>
              <w:rPr>
                <w:rFonts w:ascii="Times New Roman" w:hAnsi="Times New Roman"/>
                <w:sz w:val="22"/>
              </w:rPr>
              <w:t>0 событий (RPO = 0)</w:t>
            </w:r>
          </w:p>
        </w:tc>
      </w:tr>
      <w:tr>
        <w:tc>
          <w:tcPr>
            <w:tcW w:type="dxa" w:w="1134"/>
          </w:tcPr>
          <w:p>
            <w:r>
              <w:rPr>
                <w:rFonts w:ascii="Times New Roman" w:hAnsi="Times New Roman"/>
                <w:sz w:val="22"/>
              </w:rPr>
              <w:t>NFR-04</w:t>
            </w:r>
          </w:p>
        </w:tc>
        <w:tc>
          <w:tcPr>
            <w:tcW w:type="dxa" w:w="4535"/>
          </w:tcPr>
          <w:p>
            <w:r>
              <w:rPr>
                <w:rFonts w:ascii="Times New Roman" w:hAnsi="Times New Roman"/>
                <w:sz w:val="22"/>
              </w:rPr>
              <w:t>Время восстановления после отказа (RTO)</w:t>
            </w:r>
          </w:p>
        </w:tc>
        <w:tc>
          <w:tcPr>
            <w:tcW w:type="dxa" w:w="3402"/>
          </w:tcPr>
          <w:p>
            <w:r>
              <w:rPr>
                <w:rFonts w:ascii="Times New Roman" w:hAnsi="Times New Roman"/>
                <w:sz w:val="22"/>
              </w:rPr>
              <w:t>≤ 5 минут</w:t>
            </w:r>
          </w:p>
        </w:tc>
      </w:tr>
      <w:tr>
        <w:tc>
          <w:tcPr>
            <w:tcW w:type="dxa" w:w="1134"/>
          </w:tcPr>
          <w:p>
            <w:r>
              <w:rPr>
                <w:rFonts w:ascii="Times New Roman" w:hAnsi="Times New Roman"/>
                <w:sz w:val="22"/>
              </w:rPr>
              <w:t>NFR-05</w:t>
            </w:r>
          </w:p>
        </w:tc>
        <w:tc>
          <w:tcPr>
            <w:tcW w:type="dxa" w:w="4535"/>
          </w:tcPr>
          <w:p>
            <w:r>
              <w:rPr>
                <w:rFonts w:ascii="Times New Roman" w:hAnsi="Times New Roman"/>
                <w:sz w:val="22"/>
              </w:rPr>
              <w:t>Доля событий в DLQ при нормальной работе</w:t>
            </w:r>
          </w:p>
        </w:tc>
        <w:tc>
          <w:tcPr>
            <w:tcW w:type="dxa" w:w="3402"/>
          </w:tcPr>
          <w:p>
            <w:r>
              <w:rPr>
                <w:rFonts w:ascii="Times New Roman" w:hAnsi="Times New Roman"/>
                <w:sz w:val="22"/>
              </w:rPr>
              <w:t>&lt; 1%</w:t>
            </w:r>
          </w:p>
        </w:tc>
      </w:tr>
      <w:tr>
        <w:tc>
          <w:tcPr>
            <w:tcW w:type="dxa" w:w="1134"/>
          </w:tcPr>
          <w:p>
            <w:r>
              <w:rPr>
                <w:rFonts w:ascii="Times New Roman" w:hAnsi="Times New Roman"/>
                <w:sz w:val="22"/>
              </w:rPr>
              <w:t>NFR-06</w:t>
            </w:r>
          </w:p>
        </w:tc>
        <w:tc>
          <w:tcPr>
            <w:tcW w:type="dxa" w:w="4535"/>
          </w:tcPr>
          <w:p>
            <w:r>
              <w:rPr>
                <w:rFonts w:ascii="Times New Roman" w:hAnsi="Times New Roman"/>
                <w:sz w:val="22"/>
              </w:rPr>
              <w:t>Heap JVM Flink при baseline-нагрузке</w:t>
            </w:r>
          </w:p>
        </w:tc>
        <w:tc>
          <w:tcPr>
            <w:tcW w:type="dxa" w:w="3402"/>
          </w:tcPr>
          <w:p>
            <w:r>
              <w:rPr>
                <w:rFonts w:ascii="Times New Roman" w:hAnsi="Times New Roman"/>
                <w:sz w:val="22"/>
              </w:rPr>
              <w:t>&lt; 80%</w:t>
            </w:r>
          </w:p>
        </w:tc>
      </w:tr>
    </w:tbl>
    <w:p>
      <w:pPr>
        <w:spacing w:before="0" w:after="120"/>
      </w:pPr>
      <w:r>
        <w:rPr>
          <w:rFonts w:ascii="Times New Roman" w:hAnsi="Times New Roman"/>
          <w:b/>
          <w:i w:val="0"/>
          <w:sz w:val="26"/>
        </w:rPr>
        <w:t>Обоснование целевой нагрузки:</w:t>
      </w:r>
    </w:p>
    <w:p>
      <w:pPr>
        <w:spacing w:before="0" w:after="120"/>
        <w:ind w:firstLine="709"/>
      </w:pPr>
      <w:r>
        <w:rPr>
          <w:rFonts w:ascii="Times New Roman" w:hAnsi="Times New Roman"/>
          <w:b w:val="0"/>
          <w:i w:val="0"/>
          <w:sz w:val="26"/>
        </w:rPr>
        <w:t>Параметры нагрузки (baseline 200 событий/сек, пик до 1 000 событий/сек) обоснованы на основе открытых данных ЦБ РФ. По данным ЦБ РФ (таблица T7, "Статистика национальной платёжной системы"), в 2023 году российские кредитные организации провели ~38 млрд операций; с учётом темпа роста ~15%/год оценка на 2024 год — ~44 млрд операций, то есть ~1 400 событий/сек по всей отрасли суммарно. Целевой сегмент прототипа — аналитический конвейер крупного российского банка или среднего платёжного сервиса с объёмом 5–17 млн платёжных событий в сутки (200 событий/сек × 86 400 с). Пиковая нагрузка до 1 000 событий/сек соответствует 5-кратному росту относительно среднесуточного уровня — типовое соотношение для платёжных систем в час пик.</w:t>
      </w:r>
    </w:p>
    <w:p>
      <w:pPr>
        <w:spacing w:before="0" w:after="120"/>
      </w:pPr>
      <w:r>
        <w:rPr>
          <w:rFonts w:ascii="Times New Roman" w:hAnsi="Times New Roman"/>
          <w:b/>
          <w:i w:val="0"/>
          <w:sz w:val="26"/>
        </w:rPr>
        <w:t>Границы системы и допущения:</w:t>
      </w:r>
    </w:p>
    <w:p>
      <w:pPr>
        <w:spacing w:before="0" w:after="120"/>
        <w:ind w:firstLine="709"/>
      </w:pPr>
      <w:r>
        <w:rPr>
          <w:rFonts w:ascii="Times New Roman" w:hAnsi="Times New Roman"/>
          <w:b w:val="0"/>
          <w:i w:val="0"/>
          <w:sz w:val="26"/>
        </w:rPr>
        <w:t>Разрабатываемая система покрывает путь от поступления платёжного события в Kafka до записи обработанного состояния в аналитическое хранилище ClickHouse и публикации результата для downstream-потребителей. В границы работы не включены фронтальные платёжные сервисы, авторизация банковских операций, расчёт комиссий и юридически значимая обработка персональных данных. Эти компоненты рассматриваются как внешние источники или потребители событий.</w:t>
      </w:r>
    </w:p>
    <w:p>
      <w:pPr>
        <w:spacing w:before="0" w:after="120"/>
        <w:ind w:firstLine="709"/>
      </w:pPr>
      <w:r>
        <w:rPr>
          <w:rFonts w:ascii="Times New Roman" w:hAnsi="Times New Roman"/>
          <w:b w:val="0"/>
          <w:i w:val="0"/>
          <w:sz w:val="26"/>
        </w:rPr>
        <w:t>Источник данных моделируется синтетическим генератором и CDC/Kafka producer. Такое допущение позволяет воспроизводимо проверять архитектурные свойства конвейера: задержку, идемпотентность, построение истории и поведение при перегрузке. Для промышленного внедрения генератор заменяется Debezium-коннектором или прикладным producer, при этом контракт входного события сохраняется.</w:t>
      </w:r>
    </w:p>
    <w:p>
      <w:pPr>
        <w:spacing w:before="0" w:after="120"/>
        <w:ind w:firstLine="709"/>
      </w:pPr>
      <w:r>
        <w:rPr>
          <w:rFonts w:ascii="Times New Roman" w:hAnsi="Times New Roman"/>
          <w:b w:val="0"/>
          <w:i w:val="0"/>
          <w:sz w:val="26"/>
        </w:rPr>
        <w:t>Система проектируется для аналитического и аудиторского контура, а не для изменения первичных транзакций в OLTP-системе. Поэтому приоритетами являются полнота истории, воспроизводимость состояния на момент времени и отсутствие потери событий. Небольшая дополнительная задержка из-за checkpoint, батчевой записи и watermark является допустимым компромиссом, если выполняется SLA p99 ≤ 30 секунд.</w:t>
      </w:r>
    </w:p>
    <w:p>
      <w:pPr>
        <w:spacing w:before="240" w:after="120"/>
      </w:pPr>
      <w:r>
        <w:rPr>
          <w:rFonts w:ascii="Times New Roman" w:hAnsi="Times New Roman"/>
          <w:b/>
          <w:sz w:val="28"/>
        </w:rPr>
        <w:t>2.2. Архитектурные решения (ADR)</w:t>
      </w:r>
    </w:p>
    <w:p>
      <w:pPr>
        <w:spacing w:before="0" w:after="120"/>
        <w:ind w:firstLine="709"/>
      </w:pPr>
      <w:r>
        <w:rPr>
          <w:rFonts w:ascii="Times New Roman" w:hAnsi="Times New Roman"/>
          <w:b w:val="0"/>
          <w:i w:val="0"/>
          <w:sz w:val="26"/>
        </w:rPr>
        <w:t>ADR-001: Выбор архитектурного паттерна. Выбрана Kappa-архитектура (единый потоковый путь) вместо Lambda. Мотивация: объём данных (≤ 200 событий/сек, 30-дневный Kafka retention ≈ 500 ГБ) допускает replay без batch-слоя; late arrivals предусмотрены архитектурой (watermark + side output), но в текущей реализации отключены (Beam PyFlink runtime не поддерживает ctx.timer_service()); снижается операционная сложность.</w:t>
      </w:r>
    </w:p>
    <w:p>
      <w:pPr>
        <w:spacing w:before="0" w:after="120"/>
        <w:ind w:firstLine="709"/>
      </w:pPr>
      <w:r>
        <w:rPr>
          <w:rFonts w:ascii="Times New Roman" w:hAnsi="Times New Roman"/>
          <w:b w:val="0"/>
          <w:i w:val="0"/>
          <w:sz w:val="26"/>
        </w:rPr>
        <w:t>ADR-002: Выбор фреймворка потоковой обработки. Выбран Apache Flink 1.19. Ключевые аргументы: KeyedProcessFunction с hashmap state backend (прототип; RocksDB — production-расширение) позволяет хранить состояние per payment_id; нативная поддержка event-time watermarks для корректной обработки out-of-order событий; алгоритм ABS (Carbone et al., 2015) обеспечивает неблокирующие checkpoint без паузы потока.</w:t>
      </w:r>
    </w:p>
    <w:p>
      <w:pPr>
        <w:spacing w:before="0" w:after="120"/>
        <w:ind w:firstLine="709"/>
      </w:pPr>
      <w:r>
        <w:rPr>
          <w:rFonts w:ascii="Times New Roman" w:hAnsi="Times New Roman"/>
          <w:b w:val="0"/>
          <w:i w:val="0"/>
          <w:sz w:val="26"/>
        </w:rPr>
        <w:t>ADR-003: Паттерн хранения истории. Выбран гибридный подход SCD Type 2 + Сохраняемый append-only лог событий: таблица payment_history (ReplacingMergeTree(processed_at)) как источник истины для аудита и replay; таблица payment_current (ReplacingMergeTree) как оптимизированное представление текущего состояния для аналитических запросов.</w:t>
      </w:r>
    </w:p>
    <w:p>
      <w:pPr>
        <w:spacing w:before="0" w:after="120"/>
        <w:ind w:firstLine="709"/>
      </w:pPr>
      <w:r>
        <w:rPr>
          <w:rFonts w:ascii="Times New Roman" w:hAnsi="Times New Roman"/>
          <w:b w:val="0"/>
          <w:i w:val="0"/>
          <w:sz w:val="26"/>
        </w:rPr>
        <w:t>ADR-004: Стратегия дедупликации. Реализована трёхуровневая композитная стратегия: L1 — Kafka idempotent producer (sequence number); L2 — Flink MapState[event_id → ts] с TTL 24 часа + контентный SHA-256 хэш значимых полей (field_hash); L3 — ClickHouse ReplacingMergeTree(version) для payment_current. payment_history — ReplacingMergeTree(processed_at), дедупликация по ключу (payment_id, source_system, version), чтобы защититься от повторных INSERT при replay.</w:t>
      </w:r>
    </w:p>
    <w:p>
      <w:pPr>
        <w:spacing w:before="240" w:after="120"/>
      </w:pPr>
      <w:r>
        <w:rPr>
          <w:rFonts w:ascii="Times New Roman" w:hAnsi="Times New Roman"/>
          <w:b/>
          <w:sz w:val="28"/>
        </w:rPr>
        <w:t>2.3. Схема потоков данных и компонентная архитектура</w:t>
      </w:r>
    </w:p>
    <w:p>
      <w:pPr>
        <w:spacing w:before="0" w:after="120"/>
        <w:ind w:firstLine="709"/>
      </w:pPr>
      <w:r>
        <w:rPr>
          <w:rFonts w:ascii="Times New Roman" w:hAnsi="Times New Roman"/>
          <w:b w:val="0"/>
          <w:i w:val="0"/>
          <w:sz w:val="26"/>
        </w:rPr>
        <w:t>Система состоит из следующих основных компонентов: генератор событий / CDC (Debezium), Apache Kafka (брокер, 4 топика: payments.raw, payments.processed, payments.dlq, payments.late), Apache Flink Job (обработчик), ClickHouse (хранилище), Prometheus + Grafana (мониторинг).</w:t>
      </w:r>
    </w:p>
    <w:p>
      <w:pPr>
        <w:spacing w:before="0" w:after="120"/>
        <w:ind w:firstLine="709"/>
      </w:pPr>
      <w:r>
        <w:rPr>
          <w:rFonts w:ascii="Times New Roman" w:hAnsi="Times New Roman"/>
          <w:b w:val="0"/>
          <w:i w:val="0"/>
          <w:sz w:val="26"/>
        </w:rPr>
        <w:t>Поток обработки одного события: источник → CDC/Kafka Producer → топик payments.raw → Flink ValidatorOperator (валидация, DLQ при ошибке) → Flink EnricherOperator (нормализация валюты, статуса, обогащение мерчантом) → keyBy(payment_id + source_system) → Flink ScdMergerOperator (stateful, hashmap state) → параллельно в payments.processed (Kafka) и payment_current + payment_history (ClickHouse).</w:t>
      </w:r>
    </w:p>
    <w:p>
      <w:pPr>
        <w:spacing w:before="0" w:after="120"/>
      </w:pPr>
      <w:r>
        <w:rPr>
          <w:rFonts w:ascii="Times New Roman" w:hAnsi="Times New Roman"/>
          <w:b/>
          <w:i w:val="0"/>
          <w:sz w:val="26"/>
        </w:rPr>
        <w:t>Топология Kafka-топиков: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64"/>
        <w:gridCol w:w="2564"/>
        <w:gridCol w:w="2564"/>
        <w:gridCol w:w="2564"/>
      </w:tblGrid>
      <w:tr>
        <w:tc>
          <w:tcPr>
            <w:tcW w:type="dxa" w:w="2551"/>
          </w:tcPr>
          <w:p>
            <w:r>
              <w:rPr>
                <w:rFonts w:ascii="Times New Roman" w:hAnsi="Times New Roman"/>
                <w:b/>
                <w:sz w:val="22"/>
              </w:rPr>
              <w:t>Топик</w:t>
            </w:r>
          </w:p>
        </w:tc>
        <w:tc>
          <w:tcPr>
            <w:tcW w:type="dxa" w:w="3402"/>
          </w:tcPr>
          <w:p>
            <w:r>
              <w:rPr>
                <w:rFonts w:ascii="Times New Roman" w:hAnsi="Times New Roman"/>
                <w:b/>
                <w:sz w:val="22"/>
              </w:rPr>
              <w:t>Назначение</w:t>
            </w:r>
          </w:p>
        </w:tc>
        <w:tc>
          <w:tcPr>
            <w:tcW w:type="dxa" w:w="1417"/>
          </w:tcPr>
          <w:p>
            <w:r>
              <w:rPr>
                <w:rFonts w:ascii="Times New Roman" w:hAnsi="Times New Roman"/>
                <w:b/>
                <w:sz w:val="22"/>
              </w:rPr>
              <w:t>Partitions</w:t>
            </w:r>
          </w:p>
        </w:tc>
        <w:tc>
          <w:tcPr>
            <w:tcW w:type="dxa" w:w="1701"/>
          </w:tcPr>
          <w:p>
            <w:r>
              <w:rPr>
                <w:rFonts w:ascii="Times New Roman" w:hAnsi="Times New Roman"/>
                <w:b/>
                <w:sz w:val="22"/>
              </w:rPr>
              <w:t>Retention</w:t>
            </w:r>
          </w:p>
        </w:tc>
      </w:tr>
      <w:tr>
        <w:tc>
          <w:tcPr>
            <w:tcW w:type="dxa" w:w="2551"/>
          </w:tcPr>
          <w:p>
            <w:r>
              <w:rPr>
                <w:rFonts w:ascii="Times New Roman" w:hAnsi="Times New Roman"/>
                <w:sz w:val="22"/>
              </w:rPr>
              <w:t>payments.raw</w:t>
            </w:r>
          </w:p>
        </w:tc>
        <w:tc>
          <w:tcPr>
            <w:tcW w:type="dxa" w:w="3402"/>
          </w:tcPr>
          <w:p>
            <w:r>
              <w:rPr>
                <w:rFonts w:ascii="Times New Roman" w:hAnsi="Times New Roman"/>
                <w:sz w:val="22"/>
              </w:rPr>
              <w:t>Сырые события от источников</w:t>
            </w:r>
          </w:p>
        </w:tc>
        <w:tc>
          <w:tcPr>
            <w:tcW w:type="dxa" w:w="1417"/>
          </w:tcPr>
          <w:p>
            <w:r>
              <w:rPr>
                <w:rFonts w:ascii="Times New Roman" w:hAnsi="Times New Roman"/>
                <w:sz w:val="22"/>
              </w:rPr>
              <w:t>12</w:t>
            </w:r>
          </w:p>
        </w:tc>
        <w:tc>
          <w:tcPr>
            <w:tcW w:type="dxa" w:w="1701"/>
          </w:tcPr>
          <w:p>
            <w:r>
              <w:rPr>
                <w:rFonts w:ascii="Times New Roman" w:hAnsi="Times New Roman"/>
                <w:sz w:val="22"/>
              </w:rPr>
              <w:t>3 дня</w:t>
            </w:r>
          </w:p>
        </w:tc>
      </w:tr>
      <w:tr>
        <w:tc>
          <w:tcPr>
            <w:tcW w:type="dxa" w:w="2551"/>
          </w:tcPr>
          <w:p>
            <w:r>
              <w:rPr>
                <w:rFonts w:ascii="Times New Roman" w:hAnsi="Times New Roman"/>
                <w:sz w:val="22"/>
              </w:rPr>
              <w:t>payments.processed</w:t>
            </w:r>
          </w:p>
        </w:tc>
        <w:tc>
          <w:tcPr>
            <w:tcW w:type="dxa" w:w="3402"/>
          </w:tcPr>
          <w:p>
            <w:r>
              <w:rPr>
                <w:rFonts w:ascii="Times New Roman" w:hAnsi="Times New Roman"/>
                <w:sz w:val="22"/>
              </w:rPr>
              <w:t>Обработанные события для downstream</w:t>
            </w:r>
          </w:p>
        </w:tc>
        <w:tc>
          <w:tcPr>
            <w:tcW w:type="dxa" w:w="1417"/>
          </w:tcPr>
          <w:p>
            <w:r>
              <w:rPr>
                <w:rFonts w:ascii="Times New Roman" w:hAnsi="Times New Roman"/>
                <w:sz w:val="22"/>
              </w:rPr>
              <w:t>6</w:t>
            </w:r>
          </w:p>
        </w:tc>
        <w:tc>
          <w:tcPr>
            <w:tcW w:type="dxa" w:w="1701"/>
          </w:tcPr>
          <w:p>
            <w:r>
              <w:rPr>
                <w:rFonts w:ascii="Times New Roman" w:hAnsi="Times New Roman"/>
                <w:sz w:val="22"/>
              </w:rPr>
              <w:t>1 день</w:t>
            </w:r>
          </w:p>
        </w:tc>
      </w:tr>
      <w:tr>
        <w:tc>
          <w:tcPr>
            <w:tcW w:type="dxa" w:w="2551"/>
          </w:tcPr>
          <w:p>
            <w:r>
              <w:rPr>
                <w:rFonts w:ascii="Times New Roman" w:hAnsi="Times New Roman"/>
                <w:sz w:val="22"/>
              </w:rPr>
              <w:t>payments.dlq</w:t>
            </w:r>
          </w:p>
        </w:tc>
        <w:tc>
          <w:tcPr>
            <w:tcW w:type="dxa" w:w="3402"/>
          </w:tcPr>
          <w:p>
            <w:r>
              <w:rPr>
                <w:rFonts w:ascii="Times New Roman" w:hAnsi="Times New Roman"/>
                <w:sz w:val="22"/>
              </w:rPr>
              <w:t>Невалидные / необработанные события</w:t>
            </w:r>
          </w:p>
        </w:tc>
        <w:tc>
          <w:tcPr>
            <w:tcW w:type="dxa" w:w="1417"/>
          </w:tcPr>
          <w:p>
            <w:r>
              <w:rPr>
                <w:rFonts w:ascii="Times New Roman" w:hAnsi="Times New Roman"/>
                <w:sz w:val="22"/>
              </w:rPr>
              <w:t>2</w:t>
            </w:r>
          </w:p>
        </w:tc>
        <w:tc>
          <w:tcPr>
            <w:tcW w:type="dxa" w:w="1701"/>
          </w:tcPr>
          <w:p>
            <w:r>
              <w:rPr>
                <w:rFonts w:ascii="Times New Roman" w:hAnsi="Times New Roman"/>
                <w:sz w:val="22"/>
              </w:rPr>
              <w:t>30 дней</w:t>
            </w:r>
          </w:p>
        </w:tc>
      </w:tr>
      <w:tr>
        <w:tc>
          <w:tcPr>
            <w:tcW w:type="dxa" w:w="2551"/>
          </w:tcPr>
          <w:p>
            <w:r>
              <w:rPr>
                <w:rFonts w:ascii="Times New Roman" w:hAnsi="Times New Roman"/>
                <w:sz w:val="22"/>
              </w:rPr>
              <w:t>payments.late</w:t>
            </w:r>
          </w:p>
        </w:tc>
        <w:tc>
          <w:tcPr>
            <w:tcW w:type="dxa" w:w="3402"/>
          </w:tcPr>
          <w:p>
            <w:r>
              <w:rPr>
                <w:rFonts w:ascii="Times New Roman" w:hAnsi="Times New Roman"/>
                <w:sz w:val="22"/>
              </w:rPr>
              <w:t>Поздние события (&gt; watermark)</w:t>
            </w:r>
          </w:p>
        </w:tc>
        <w:tc>
          <w:tcPr>
            <w:tcW w:type="dxa" w:w="1417"/>
          </w:tcPr>
          <w:p>
            <w:r>
              <w:rPr>
                <w:rFonts w:ascii="Times New Roman" w:hAnsi="Times New Roman"/>
                <w:sz w:val="22"/>
              </w:rPr>
              <w:t>2</w:t>
            </w:r>
          </w:p>
        </w:tc>
        <w:tc>
          <w:tcPr>
            <w:tcW w:type="dxa" w:w="1701"/>
          </w:tcPr>
          <w:p>
            <w:r>
              <w:rPr>
                <w:rFonts w:ascii="Times New Roman" w:hAnsi="Times New Roman"/>
                <w:sz w:val="22"/>
              </w:rPr>
              <w:t>30 дней</w:t>
            </w:r>
          </w:p>
        </w:tc>
      </w:tr>
    </w:tbl>
    <w:p>
      <w:pPr>
        <w:spacing w:before="240" w:after="120"/>
      </w:pPr>
      <w:r>
        <w:rPr>
          <w:rFonts w:ascii="Times New Roman" w:hAnsi="Times New Roman"/>
          <w:b/>
          <w:sz w:val="28"/>
        </w:rPr>
        <w:t>2.4. Трассировка требований и границы системы</w:t>
      </w:r>
    </w:p>
    <w:p>
      <w:pPr>
        <w:spacing w:before="0" w:after="120"/>
        <w:ind w:firstLine="709"/>
      </w:pPr>
      <w:r>
        <w:rPr>
          <w:rFonts w:ascii="Times New Roman" w:hAnsi="Times New Roman"/>
          <w:b w:val="0"/>
          <w:i w:val="0"/>
          <w:sz w:val="26"/>
        </w:rPr>
        <w:t>Для программной ВКР важно показать не только список требований, но и связь между постановкой задачи, реализованными компонентами и проверками. В Таблице ниже приведена матрица трассировки: она показывает, каким модулем закрывается каждое ключевое требование и каким тестом или метрикой оно подтверждается.</w:t>
      </w:r>
    </w:p>
    <w:p>
      <w:pPr>
        <w:spacing w:before="0" w:after="120"/>
      </w:pPr>
      <w:r>
        <w:rPr>
          <w:rFonts w:ascii="Times New Roman" w:hAnsi="Times New Roman"/>
          <w:b/>
          <w:i w:val="0"/>
          <w:sz w:val="24"/>
        </w:rPr>
        <w:t>Таблица 1 – Трассировка требований к реализации и проверкам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19"/>
        <w:gridCol w:w="3419"/>
        <w:gridCol w:w="3419"/>
      </w:tblGrid>
      <w:tr>
        <w:tc>
          <w:tcPr>
            <w:tcW w:type="dxa" w:w="1701"/>
          </w:tcPr>
          <w:p>
            <w:r>
              <w:rPr>
                <w:rFonts w:ascii="Times New Roman" w:hAnsi="Times New Roman"/>
                <w:b/>
                <w:sz w:val="22"/>
              </w:rPr>
              <w:t>Требование</w:t>
            </w:r>
          </w:p>
        </w:tc>
        <w:tc>
          <w:tcPr>
            <w:tcW w:type="dxa" w:w="3969"/>
          </w:tcPr>
          <w:p>
            <w:r>
              <w:rPr>
                <w:rFonts w:ascii="Times New Roman" w:hAnsi="Times New Roman"/>
                <w:b/>
                <w:sz w:val="22"/>
              </w:rPr>
              <w:t>Реализация</w:t>
            </w:r>
          </w:p>
        </w:tc>
        <w:tc>
          <w:tcPr>
            <w:tcW w:type="dxa" w:w="3969"/>
          </w:tcPr>
          <w:p>
            <w:r>
              <w:rPr>
                <w:rFonts w:ascii="Times New Roman" w:hAnsi="Times New Roman"/>
                <w:b/>
                <w:sz w:val="22"/>
              </w:rPr>
              <w:t>Подтверждение</w:t>
            </w:r>
          </w:p>
        </w:tc>
      </w:tr>
      <w:tr>
        <w:tc>
          <w:tcPr>
            <w:tcW w:type="dxa" w:w="1701"/>
          </w:tcPr>
          <w:p>
            <w:r>
              <w:rPr>
                <w:rFonts w:ascii="Times New Roman" w:hAnsi="Times New Roman"/>
                <w:sz w:val="22"/>
              </w:rPr>
              <w:t>FR-01, FR-05</w:t>
            </w:r>
          </w:p>
        </w:tc>
        <w:tc>
          <w:tcPr>
            <w:tcW w:type="dxa" w:w="3969"/>
          </w:tcPr>
          <w:p>
            <w:r>
              <w:rPr>
                <w:rFonts w:ascii="Times New Roman" w:hAnsi="Times New Roman"/>
                <w:sz w:val="22"/>
              </w:rPr>
              <w:t>KafkaSource, payments.raw, payments.processed</w:t>
            </w:r>
          </w:p>
        </w:tc>
        <w:tc>
          <w:tcPr>
            <w:tcW w:type="dxa" w:w="3969"/>
          </w:tcPr>
          <w:p>
            <w:r>
              <w:rPr>
                <w:rFonts w:ascii="Times New Roman" w:hAnsi="Times New Roman"/>
                <w:sz w:val="22"/>
              </w:rPr>
              <w:t>TC-A01, p99 latency в load_report.json</w:t>
            </w:r>
          </w:p>
        </w:tc>
      </w:tr>
      <w:tr>
        <w:tc>
          <w:tcPr>
            <w:tcW w:type="dxa" w:w="1701"/>
          </w:tcPr>
          <w:p>
            <w:r>
              <w:rPr>
                <w:rFonts w:ascii="Times New Roman" w:hAnsi="Times New Roman"/>
                <w:sz w:val="22"/>
              </w:rPr>
              <w:t>FR-02, FR-09</w:t>
            </w:r>
          </w:p>
        </w:tc>
        <w:tc>
          <w:tcPr>
            <w:tcW w:type="dxa" w:w="3969"/>
          </w:tcPr>
          <w:p>
            <w:r>
              <w:rPr>
                <w:rFonts w:ascii="Times New Roman" w:hAnsi="Times New Roman"/>
                <w:sz w:val="22"/>
              </w:rPr>
              <w:t>ValidatorOperator, DLQ side output</w:t>
            </w:r>
          </w:p>
        </w:tc>
        <w:tc>
          <w:tcPr>
            <w:tcW w:type="dxa" w:w="3969"/>
          </w:tcPr>
          <w:p>
            <w:r>
              <w:rPr>
                <w:rFonts w:ascii="Times New Roman" w:hAnsi="Times New Roman"/>
                <w:sz w:val="22"/>
              </w:rPr>
              <w:t>TC-A04, TC-B03, TC-B06</w:t>
            </w:r>
          </w:p>
        </w:tc>
      </w:tr>
      <w:tr>
        <w:tc>
          <w:tcPr>
            <w:tcW w:type="dxa" w:w="1701"/>
          </w:tcPr>
          <w:p>
            <w:r>
              <w:rPr>
                <w:rFonts w:ascii="Times New Roman" w:hAnsi="Times New Roman"/>
                <w:sz w:val="22"/>
              </w:rPr>
              <w:t>FR-03, FR-04</w:t>
            </w:r>
          </w:p>
        </w:tc>
        <w:tc>
          <w:tcPr>
            <w:tcW w:type="dxa" w:w="3969"/>
          </w:tcPr>
          <w:p>
            <w:r>
              <w:rPr>
                <w:rFonts w:ascii="Times New Roman" w:hAnsi="Times New Roman"/>
                <w:sz w:val="22"/>
              </w:rPr>
              <w:t>EnricherOperator, справочники валют и статусов</w:t>
            </w:r>
          </w:p>
        </w:tc>
        <w:tc>
          <w:tcPr>
            <w:tcW w:type="dxa" w:w="3969"/>
          </w:tcPr>
          <w:p>
            <w:r>
              <w:rPr>
                <w:rFonts w:ascii="Times New Roman" w:hAnsi="Times New Roman"/>
                <w:sz w:val="22"/>
              </w:rPr>
              <w:t>TC-A01, DQ-026, DQ-027</w:t>
            </w:r>
          </w:p>
        </w:tc>
      </w:tr>
      <w:tr>
        <w:tc>
          <w:tcPr>
            <w:tcW w:type="dxa" w:w="1701"/>
          </w:tcPr>
          <w:p>
            <w:r>
              <w:rPr>
                <w:rFonts w:ascii="Times New Roman" w:hAnsi="Times New Roman"/>
                <w:sz w:val="22"/>
              </w:rPr>
              <w:t>FR-06, FR-07</w:t>
            </w:r>
          </w:p>
        </w:tc>
        <w:tc>
          <w:tcPr>
            <w:tcW w:type="dxa" w:w="3969"/>
          </w:tcPr>
          <w:p>
            <w:r>
              <w:rPr>
                <w:rFonts w:ascii="Times New Roman" w:hAnsi="Times New Roman"/>
                <w:sz w:val="22"/>
              </w:rPr>
              <w:t>payment_history, effective_from/effective_to</w:t>
            </w:r>
          </w:p>
        </w:tc>
        <w:tc>
          <w:tcPr>
            <w:tcW w:type="dxa" w:w="3969"/>
          </w:tcPr>
          <w:p>
            <w:r>
              <w:rPr>
                <w:rFonts w:ascii="Times New Roman" w:hAnsi="Times New Roman"/>
                <w:sz w:val="22"/>
              </w:rPr>
              <w:t>TC-A02, TC-B01, DQ-022</w:t>
            </w:r>
          </w:p>
        </w:tc>
      </w:tr>
      <w:tr>
        <w:tc>
          <w:tcPr>
            <w:tcW w:type="dxa" w:w="1701"/>
          </w:tcPr>
          <w:p>
            <w:r>
              <w:rPr>
                <w:rFonts w:ascii="Times New Roman" w:hAnsi="Times New Roman"/>
                <w:sz w:val="22"/>
              </w:rPr>
              <w:t>FR-08</w:t>
            </w:r>
          </w:p>
        </w:tc>
        <w:tc>
          <w:tcPr>
            <w:tcW w:type="dxa" w:w="3969"/>
          </w:tcPr>
          <w:p>
            <w:r>
              <w:rPr>
                <w:rFonts w:ascii="Times New Roman" w:hAnsi="Times New Roman"/>
                <w:sz w:val="22"/>
              </w:rPr>
              <w:t>Kafka idempotent producer, MapState, SHA-256 hash</w:t>
            </w:r>
          </w:p>
        </w:tc>
        <w:tc>
          <w:tcPr>
            <w:tcW w:type="dxa" w:w="3969"/>
          </w:tcPr>
          <w:p>
            <w:r>
              <w:rPr>
                <w:rFonts w:ascii="Times New Roman" w:hAnsi="Times New Roman"/>
                <w:sz w:val="22"/>
              </w:rPr>
              <w:t>TC-A03, TC-B02, DQ-020</w:t>
            </w:r>
          </w:p>
        </w:tc>
      </w:tr>
      <w:tr>
        <w:tc>
          <w:tcPr>
            <w:tcW w:type="dxa" w:w="1701"/>
          </w:tcPr>
          <w:p>
            <w:r>
              <w:rPr>
                <w:rFonts w:ascii="Times New Roman" w:hAnsi="Times New Roman"/>
                <w:sz w:val="22"/>
              </w:rPr>
              <w:t>FR-10, NFR-01</w:t>
            </w:r>
          </w:p>
        </w:tc>
        <w:tc>
          <w:tcPr>
            <w:tcW w:type="dxa" w:w="3969"/>
          </w:tcPr>
          <w:p>
            <w:r>
              <w:rPr>
                <w:rFonts w:ascii="Times New Roman" w:hAnsi="Times New Roman"/>
                <w:sz w:val="22"/>
              </w:rPr>
              <w:t>Prometheus metrics, alerts.yml, Grafana dashboard</w:t>
            </w:r>
          </w:p>
        </w:tc>
        <w:tc>
          <w:tcPr>
            <w:tcW w:type="dxa" w:w="3969"/>
          </w:tcPr>
          <w:p>
            <w:r>
              <w:rPr>
                <w:rFonts w:ascii="Times New Roman" w:hAnsi="Times New Roman"/>
                <w:sz w:val="22"/>
              </w:rPr>
              <w:t>p50/p95/p99, consumer lag</w:t>
            </w:r>
          </w:p>
        </w:tc>
      </w:tr>
      <w:tr>
        <w:tc>
          <w:tcPr>
            <w:tcW w:type="dxa" w:w="1701"/>
          </w:tcPr>
          <w:p>
            <w:r>
              <w:rPr>
                <w:rFonts w:ascii="Times New Roman" w:hAnsi="Times New Roman"/>
                <w:sz w:val="22"/>
              </w:rPr>
              <w:t>NFR-03, NFR-04</w:t>
            </w:r>
          </w:p>
        </w:tc>
        <w:tc>
          <w:tcPr>
            <w:tcW w:type="dxa" w:w="3969"/>
          </w:tcPr>
          <w:p>
            <w:r>
              <w:rPr>
                <w:rFonts w:ascii="Times New Roman" w:hAnsi="Times New Roman"/>
                <w:sz w:val="22"/>
              </w:rPr>
              <w:t>Kafka replay, Flink checkpoints, idempotent sink</w:t>
            </w:r>
          </w:p>
        </w:tc>
        <w:tc>
          <w:tcPr>
            <w:tcW w:type="dxa" w:w="3969"/>
          </w:tcPr>
          <w:p>
            <w:r>
              <w:rPr>
                <w:rFonts w:ascii="Times New Roman" w:hAnsi="Times New Roman"/>
                <w:sz w:val="22"/>
              </w:rPr>
              <w:t>TC-C03, RPO/RTO из отчёта</w:t>
            </w:r>
          </w:p>
        </w:tc>
      </w:tr>
    </w:tbl>
    <w:p>
      <w:pPr>
        <w:spacing w:before="0" w:after="120"/>
        <w:ind w:firstLine="709"/>
      </w:pPr>
      <w:r>
        <w:rPr>
          <w:rFonts w:ascii="Times New Roman" w:hAnsi="Times New Roman"/>
          <w:b w:val="0"/>
          <w:i w:val="0"/>
          <w:sz w:val="26"/>
        </w:rPr>
        <w:t>Матрица также фиксирует проверяемость результата: если требование не имеет связанного теста, метрики или DQ-проверки, оно считается неподтверждённым. Такой подход снижает риск декларативности и делает результаты работы воспроизводимыми: функциональные требования проверяются pytest-сценариями, а нефункциональные — нагрузочным тестом и метриками Prometheus.</w:t>
      </w:r>
    </w:p>
    <w:p>
      <w:r>
        <w:br w:type="page"/>
      </w:r>
    </w:p>
    <w:p>
      <w:pPr>
        <w:spacing w:before="240" w:after="120"/>
        <w:jc w:val="center"/>
      </w:pPr>
      <w:r>
        <w:rPr>
          <w:rFonts w:ascii="Times New Roman" w:hAnsi="Times New Roman"/>
          <w:b/>
          <w:sz w:val="32"/>
        </w:rPr>
        <w:t>ГЛАВА 3. ПРОЕКТИРОВАНИЕ ХРАНЕНИЯ ИСТОРИИ</w:t>
      </w:r>
    </w:p>
    <w:p>
      <w:pPr>
        <w:spacing w:before="240" w:after="120"/>
      </w:pPr>
      <w:r>
        <w:rPr>
          <w:rFonts w:ascii="Times New Roman" w:hAnsi="Times New Roman"/>
          <w:b/>
          <w:sz w:val="28"/>
        </w:rPr>
        <w:t>3.1. SCD Type 2 и Append-only Event Log</w:t>
      </w:r>
    </w:p>
    <w:p>
      <w:pPr>
        <w:spacing w:before="0" w:after="120"/>
        <w:ind w:firstLine="709"/>
      </w:pPr>
      <w:r>
        <w:rPr>
          <w:rFonts w:ascii="Times New Roman" w:hAnsi="Times New Roman"/>
          <w:b w:val="0"/>
          <w:i w:val="0"/>
          <w:sz w:val="26"/>
        </w:rPr>
        <w:t>Для хранения истории платежей применяется гибридный подход, объединяющий два представления одних данных.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64"/>
        <w:gridCol w:w="2564"/>
        <w:gridCol w:w="2564"/>
        <w:gridCol w:w="2564"/>
      </w:tblGrid>
      <w:tr>
        <w:tc>
          <w:tcPr>
            <w:tcW w:type="dxa" w:w="1984"/>
          </w:tcPr>
          <w:p>
            <w:r>
              <w:rPr>
                <w:rFonts w:ascii="Times New Roman" w:hAnsi="Times New Roman"/>
                <w:b/>
                <w:sz w:val="22"/>
              </w:rPr>
              <w:t>Таблица</w:t>
            </w:r>
          </w:p>
        </w:tc>
        <w:tc>
          <w:tcPr>
            <w:tcW w:type="dxa" w:w="2551"/>
          </w:tcPr>
          <w:p>
            <w:r>
              <w:rPr>
                <w:rFonts w:ascii="Times New Roman" w:hAnsi="Times New Roman"/>
                <w:b/>
                <w:sz w:val="22"/>
              </w:rPr>
              <w:t>Паттерн</w:t>
            </w:r>
          </w:p>
        </w:tc>
        <w:tc>
          <w:tcPr>
            <w:tcW w:type="dxa" w:w="2551"/>
          </w:tcPr>
          <w:p>
            <w:r>
              <w:rPr>
                <w:rFonts w:ascii="Times New Roman" w:hAnsi="Times New Roman"/>
                <w:b/>
                <w:sz w:val="22"/>
              </w:rPr>
              <w:t>Назначение</w:t>
            </w:r>
          </w:p>
        </w:tc>
        <w:tc>
          <w:tcPr>
            <w:tcW w:type="dxa" w:w="2551"/>
          </w:tcPr>
          <w:p>
            <w:r>
              <w:rPr>
                <w:rFonts w:ascii="Times New Roman" w:hAnsi="Times New Roman"/>
                <w:b/>
                <w:sz w:val="22"/>
              </w:rPr>
              <w:t>Ключевые запросы</w:t>
            </w:r>
          </w:p>
        </w:tc>
      </w:tr>
      <w:tr>
        <w:tc>
          <w:tcPr>
            <w:tcW w:type="dxa" w:w="1984"/>
          </w:tcPr>
          <w:p>
            <w:r>
              <w:rPr>
                <w:rFonts w:ascii="Times New Roman" w:hAnsi="Times New Roman"/>
                <w:sz w:val="22"/>
              </w:rPr>
              <w:t>payment_history</w:t>
            </w:r>
          </w:p>
        </w:tc>
        <w:tc>
          <w:tcPr>
            <w:tcW w:type="dxa" w:w="2551"/>
          </w:tcPr>
          <w:p>
            <w:r>
              <w:rPr>
                <w:rFonts w:ascii="Times New Roman" w:hAnsi="Times New Roman"/>
                <w:sz w:val="22"/>
              </w:rPr>
              <w:t>Append-only log (SCD Type 2)</w:t>
            </w:r>
          </w:p>
        </w:tc>
        <w:tc>
          <w:tcPr>
            <w:tcW w:type="dxa" w:w="2551"/>
          </w:tcPr>
          <w:p>
            <w:r>
              <w:rPr>
                <w:rFonts w:ascii="Times New Roman" w:hAnsi="Times New Roman"/>
                <w:sz w:val="22"/>
              </w:rPr>
              <w:t>Полная история всех версий</w:t>
            </w:r>
          </w:p>
        </w:tc>
        <w:tc>
          <w:tcPr>
            <w:tcW w:type="dxa" w:w="2551"/>
          </w:tcPr>
          <w:p>
            <w:r>
              <w:rPr>
                <w:rFonts w:ascii="Times New Roman" w:hAnsi="Times New Roman"/>
                <w:sz w:val="22"/>
              </w:rPr>
              <w:t>Point-in-time, аудит, replay</w:t>
            </w:r>
          </w:p>
        </w:tc>
      </w:tr>
      <w:tr>
        <w:tc>
          <w:tcPr>
            <w:tcW w:type="dxa" w:w="1984"/>
          </w:tcPr>
          <w:p>
            <w:r>
              <w:rPr>
                <w:rFonts w:ascii="Times New Roman" w:hAnsi="Times New Roman"/>
                <w:sz w:val="22"/>
              </w:rPr>
              <w:t>payment_current</w:t>
            </w:r>
          </w:p>
        </w:tc>
        <w:tc>
          <w:tcPr>
            <w:tcW w:type="dxa" w:w="2551"/>
          </w:tcPr>
          <w:p>
            <w:r>
              <w:rPr>
                <w:rFonts w:ascii="Times New Roman" w:hAnsi="Times New Roman"/>
                <w:sz w:val="22"/>
              </w:rPr>
              <w:t>ReplacingMergeTree (последняя версия)</w:t>
            </w:r>
          </w:p>
        </w:tc>
        <w:tc>
          <w:tcPr>
            <w:tcW w:type="dxa" w:w="2551"/>
          </w:tcPr>
          <w:p>
            <w:r>
              <w:rPr>
                <w:rFonts w:ascii="Times New Roman" w:hAnsi="Times New Roman"/>
                <w:sz w:val="22"/>
              </w:rPr>
              <w:t>Текущее состояние платежа</w:t>
            </w:r>
          </w:p>
        </w:tc>
        <w:tc>
          <w:tcPr>
            <w:tcW w:type="dxa" w:w="2551"/>
          </w:tcPr>
          <w:p>
            <w:r>
              <w:rPr>
                <w:rFonts w:ascii="Times New Roman" w:hAnsi="Times New Roman"/>
                <w:sz w:val="22"/>
              </w:rPr>
              <w:t>Фильтрация, агрегации по актуальным данным</w:t>
            </w:r>
          </w:p>
        </w:tc>
      </w:tr>
    </w:tbl>
    <w:p>
      <w:pPr>
        <w:spacing w:before="0" w:after="120"/>
        <w:ind w:firstLine="709"/>
      </w:pPr>
      <w:r>
        <w:rPr>
          <w:rFonts w:ascii="Times New Roman" w:hAnsi="Times New Roman"/>
          <w:b w:val="0"/>
          <w:i w:val="0"/>
          <w:sz w:val="26"/>
        </w:rPr>
        <w:t>Пример жизненного цикла платежа PAY-001 с четырьмя событиями (CREATED → AUTHORIZED → CLEARED → REFUNDED) формирует 4 строки в payment_history с полями effective_from / effective_to: каждая версия «закрывается» при наступлении следующего события, effective_to = NULL означает текущую версию.</w:t>
      </w:r>
    </w:p>
    <w:p>
      <w:pPr>
        <w:spacing w:before="240" w:after="120"/>
      </w:pPr>
      <w:r>
        <w:rPr>
          <w:rFonts w:ascii="Times New Roman" w:hAnsi="Times New Roman"/>
          <w:b/>
          <w:sz w:val="28"/>
        </w:rPr>
        <w:t>3.2. Схема данных ClickHouse</w:t>
      </w:r>
    </w:p>
    <w:p>
      <w:pPr>
        <w:spacing w:before="0" w:after="120"/>
        <w:ind w:firstLine="709"/>
      </w:pPr>
      <w:r>
        <w:rPr>
          <w:rFonts w:ascii="Times New Roman" w:hAnsi="Times New Roman"/>
          <w:b w:val="0"/>
          <w:i w:val="0"/>
          <w:sz w:val="26"/>
        </w:rPr>
        <w:t>Таблица payment_history содержит 22 поля. Ключевые поля схемы: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19"/>
        <w:gridCol w:w="3419"/>
        <w:gridCol w:w="3419"/>
      </w:tblGrid>
      <w:tr>
        <w:tc>
          <w:tcPr>
            <w:tcW w:type="dxa" w:w="2268"/>
          </w:tcPr>
          <w:p>
            <w:r>
              <w:rPr>
                <w:rFonts w:ascii="Times New Roman" w:hAnsi="Times New Roman"/>
                <w:b/>
                <w:sz w:val="22"/>
              </w:rPr>
              <w:t>Поле</w:t>
            </w:r>
          </w:p>
        </w:tc>
        <w:tc>
          <w:tcPr>
            <w:tcW w:type="dxa" w:w="2551"/>
          </w:tcPr>
          <w:p>
            <w:r>
              <w:rPr>
                <w:rFonts w:ascii="Times New Roman" w:hAnsi="Times New Roman"/>
                <w:b/>
                <w:sz w:val="22"/>
              </w:rPr>
              <w:t>Тип</w:t>
            </w:r>
          </w:p>
        </w:tc>
        <w:tc>
          <w:tcPr>
            <w:tcW w:type="dxa" w:w="4819"/>
          </w:tcPr>
          <w:p>
            <w:r>
              <w:rPr>
                <w:rFonts w:ascii="Times New Roman" w:hAnsi="Times New Roman"/>
                <w:b/>
                <w:sz w:val="22"/>
              </w:rPr>
              <w:t>Описание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22"/>
              </w:rPr>
              <w:t>payment_id</w:t>
            </w:r>
          </w:p>
        </w:tc>
        <w:tc>
          <w:tcPr>
            <w:tcW w:type="dxa" w:w="2551"/>
          </w:tcPr>
          <w:p>
            <w:r>
              <w:rPr>
                <w:rFonts w:ascii="Times New Roman" w:hAnsi="Times New Roman"/>
                <w:sz w:val="22"/>
              </w:rPr>
              <w:t>String</w:t>
            </w:r>
          </w:p>
        </w:tc>
        <w:tc>
          <w:tcPr>
            <w:tcW w:type="dxa" w:w="4819"/>
          </w:tcPr>
          <w:p>
            <w:r>
              <w:rPr>
                <w:rFonts w:ascii="Times New Roman" w:hAnsi="Times New Roman"/>
                <w:sz w:val="22"/>
              </w:rPr>
              <w:t>Бизнес-ключ платежа из источника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22"/>
              </w:rPr>
              <w:t>source_system</w:t>
            </w:r>
          </w:p>
        </w:tc>
        <w:tc>
          <w:tcPr>
            <w:tcW w:type="dxa" w:w="2551"/>
          </w:tcPr>
          <w:p>
            <w:r>
              <w:rPr>
                <w:rFonts w:ascii="Times New Roman" w:hAnsi="Times New Roman"/>
                <w:sz w:val="22"/>
              </w:rPr>
              <w:t>String</w:t>
            </w:r>
          </w:p>
        </w:tc>
        <w:tc>
          <w:tcPr>
            <w:tcW w:type="dxa" w:w="4819"/>
          </w:tcPr>
          <w:p>
            <w:r>
              <w:rPr>
                <w:rFonts w:ascii="Times New Roman" w:hAnsi="Times New Roman"/>
                <w:sz w:val="22"/>
              </w:rPr>
              <w:t>Код источника (ACQUIRING, MOBILE_APP, …)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22"/>
              </w:rPr>
              <w:t>version</w:t>
            </w:r>
          </w:p>
        </w:tc>
        <w:tc>
          <w:tcPr>
            <w:tcW w:type="dxa" w:w="2551"/>
          </w:tcPr>
          <w:p>
            <w:r>
              <w:rPr>
                <w:rFonts w:ascii="Times New Roman" w:hAnsi="Times New Roman"/>
                <w:sz w:val="22"/>
              </w:rPr>
              <w:t>UInt64</w:t>
            </w:r>
          </w:p>
        </w:tc>
        <w:tc>
          <w:tcPr>
            <w:tcW w:type="dxa" w:w="4819"/>
          </w:tcPr>
          <w:p>
            <w:r>
              <w:rPr>
                <w:rFonts w:ascii="Times New Roman" w:hAnsi="Times New Roman"/>
                <w:sz w:val="22"/>
              </w:rPr>
              <w:t>Монотонно возрастающий счётчик версий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22"/>
              </w:rPr>
              <w:t>event_id</w:t>
            </w:r>
          </w:p>
        </w:tc>
        <w:tc>
          <w:tcPr>
            <w:tcW w:type="dxa" w:w="2551"/>
          </w:tcPr>
          <w:p>
            <w:r>
              <w:rPr>
                <w:rFonts w:ascii="Times New Roman" w:hAnsi="Times New Roman"/>
                <w:sz w:val="22"/>
              </w:rPr>
              <w:t>String</w:t>
            </w:r>
          </w:p>
        </w:tc>
        <w:tc>
          <w:tcPr>
            <w:tcW w:type="dxa" w:w="4819"/>
          </w:tcPr>
          <w:p>
            <w:r>
              <w:rPr>
                <w:rFonts w:ascii="Times New Roman" w:hAnsi="Times New Roman"/>
                <w:sz w:val="22"/>
              </w:rPr>
              <w:t>UUID события (для дедупликации)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22"/>
              </w:rPr>
              <w:t>status_normalized</w:t>
            </w:r>
          </w:p>
        </w:tc>
        <w:tc>
          <w:tcPr>
            <w:tcW w:type="dxa" w:w="2551"/>
          </w:tcPr>
          <w:p>
            <w:r>
              <w:rPr>
                <w:rFonts w:ascii="Times New Roman" w:hAnsi="Times New Roman"/>
                <w:sz w:val="22"/>
              </w:rPr>
              <w:t>LowCardinality(String)</w:t>
            </w:r>
          </w:p>
        </w:tc>
        <w:tc>
          <w:tcPr>
            <w:tcW w:type="dxa" w:w="4819"/>
          </w:tcPr>
          <w:p>
            <w:r>
              <w:rPr>
                <w:rFonts w:ascii="Times New Roman" w:hAnsi="Times New Roman"/>
                <w:sz w:val="22"/>
              </w:rPr>
              <w:t>Статус во внутренней номенклатуре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22"/>
              </w:rPr>
              <w:t>effective_from</w:t>
            </w:r>
          </w:p>
        </w:tc>
        <w:tc>
          <w:tcPr>
            <w:tcW w:type="dxa" w:w="2551"/>
          </w:tcPr>
          <w:p>
            <w:r>
              <w:rPr>
                <w:rFonts w:ascii="Times New Roman" w:hAnsi="Times New Roman"/>
                <w:sz w:val="22"/>
              </w:rPr>
              <w:t>DateTime64(3)</w:t>
            </w:r>
          </w:p>
        </w:tc>
        <w:tc>
          <w:tcPr>
            <w:tcW w:type="dxa" w:w="4819"/>
          </w:tcPr>
          <w:p>
            <w:r>
              <w:rPr>
                <w:rFonts w:ascii="Times New Roman" w:hAnsi="Times New Roman"/>
                <w:sz w:val="22"/>
              </w:rPr>
              <w:t>Начало действия версии (= event_ts)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22"/>
              </w:rPr>
              <w:t>effective_to</w:t>
            </w:r>
          </w:p>
        </w:tc>
        <w:tc>
          <w:tcPr>
            <w:tcW w:type="dxa" w:w="2551"/>
          </w:tcPr>
          <w:p>
            <w:r>
              <w:rPr>
                <w:rFonts w:ascii="Times New Roman" w:hAnsi="Times New Roman"/>
                <w:sz w:val="22"/>
              </w:rPr>
              <w:t>DateTime64(3) NULL</w:t>
            </w:r>
          </w:p>
        </w:tc>
        <w:tc>
          <w:tcPr>
            <w:tcW w:type="dxa" w:w="4819"/>
          </w:tcPr>
          <w:p>
            <w:r>
              <w:rPr>
                <w:rFonts w:ascii="Times New Roman" w:hAnsi="Times New Roman"/>
                <w:sz w:val="22"/>
              </w:rPr>
              <w:t>Конец действия версии (NULL = текущая)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22"/>
              </w:rPr>
              <w:t>amount_rub</w:t>
            </w:r>
          </w:p>
        </w:tc>
        <w:tc>
          <w:tcPr>
            <w:tcW w:type="dxa" w:w="2551"/>
          </w:tcPr>
          <w:p>
            <w:r>
              <w:rPr>
                <w:rFonts w:ascii="Times New Roman" w:hAnsi="Times New Roman"/>
                <w:sz w:val="22"/>
              </w:rPr>
              <w:t>Decimal(18,4)</w:t>
            </w:r>
          </w:p>
        </w:tc>
        <w:tc>
          <w:tcPr>
            <w:tcW w:type="dxa" w:w="4819"/>
          </w:tcPr>
          <w:p>
            <w:r>
              <w:rPr>
                <w:rFonts w:ascii="Times New Roman" w:hAnsi="Times New Roman"/>
                <w:sz w:val="22"/>
              </w:rPr>
              <w:t>Сумма в RUB по курсу на момент event_ts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22"/>
              </w:rPr>
              <w:t>field_hash</w:t>
            </w:r>
          </w:p>
        </w:tc>
        <w:tc>
          <w:tcPr>
            <w:tcW w:type="dxa" w:w="2551"/>
          </w:tcPr>
          <w:p>
            <w:r>
              <w:rPr>
                <w:rFonts w:ascii="Times New Roman" w:hAnsi="Times New Roman"/>
                <w:sz w:val="22"/>
              </w:rPr>
              <w:t>String</w:t>
            </w:r>
          </w:p>
        </w:tc>
        <w:tc>
          <w:tcPr>
            <w:tcW w:type="dxa" w:w="4819"/>
          </w:tcPr>
          <w:p>
            <w:r>
              <w:rPr>
                <w:rFonts w:ascii="Times New Roman" w:hAnsi="Times New Roman"/>
                <w:sz w:val="22"/>
              </w:rPr>
              <w:t>SHA-256 значимых полей (payment_id, status_normalized, event_type, amount_rub, merchant_id, currency_original) — хранится в Flink state и в payment_history для контентной дедупликации L2</w:t>
            </w:r>
          </w:p>
        </w:tc>
      </w:tr>
    </w:tbl>
    <w:p>
      <w:pPr>
        <w:spacing w:before="240" w:after="120"/>
      </w:pPr>
      <w:r>
        <w:rPr>
          <w:rFonts w:ascii="Times New Roman" w:hAnsi="Times New Roman"/>
          <w:b/>
          <w:sz w:val="28"/>
        </w:rPr>
        <w:t>3.3. Корректность восстановления состояния</w:t>
      </w:r>
    </w:p>
    <w:p>
      <w:pPr>
        <w:spacing w:before="0" w:after="120"/>
        <w:ind w:firstLine="709"/>
      </w:pPr>
      <w:r>
        <w:rPr>
          <w:rFonts w:ascii="Times New Roman" w:hAnsi="Times New Roman"/>
          <w:b w:val="0"/>
          <w:i w:val="0"/>
          <w:sz w:val="26"/>
        </w:rPr>
        <w:t>Корректность SCD2-хранения определяется инвариантом: для каждой пары (payment_id, source_system) существует упорядоченная последовательность версий v1, v2, ..., vn, где effective_from версии vi равен event_ts события, создавшего эту версию, а effective_to версии vi равен effective_from следующей версии vi+1. У последней версии effective_to = NULL. При выполнении этого инварианта состояние платежа на момент времени T восстанавливается запросом по условию effective_from ≤ T &lt; effective_to либо effective_to IS NULL для текущей версии.</w:t>
      </w:r>
    </w:p>
    <w:p>
      <w:pPr>
        <w:spacing w:before="0" w:after="120"/>
        <w:ind w:firstLine="709"/>
      </w:pPr>
      <w:r>
        <w:rPr>
          <w:rFonts w:ascii="Times New Roman" w:hAnsi="Times New Roman"/>
          <w:b w:val="0"/>
          <w:i w:val="0"/>
          <w:sz w:val="26"/>
        </w:rPr>
        <w:t>В реализации инвариант поддерживается оператором ScdMergerOperator. Оператор обрабатывает события в keyed-потоке по ключу payment_id + source_system, поэтому состояние одного платежа обновляется последовательно внутри одной логической партиции. При появлении нового значимого состояния оператор сначала эмитирует закрывающую запись для предыдущей версии с effective_to = event_ts нового события, а затем создаёт новую открытую запись. Наличие двух физических записей в append-only таблице является осознанным компромиссом: история остаётся неизменяемой, а логическое состояние восстанавливается фильтрацией по максимальной версии и диапазонам действия.</w:t>
      </w:r>
    </w:p>
    <w:p>
      <w:pPr>
        <w:spacing w:before="0" w:after="120"/>
        <w:ind w:firstLine="709"/>
      </w:pPr>
      <w:r>
        <w:rPr>
          <w:rFonts w:ascii="Times New Roman" w:hAnsi="Times New Roman"/>
          <w:b w:val="0"/>
          <w:i w:val="0"/>
          <w:sz w:val="26"/>
        </w:rPr>
        <w:t>Поздние события предусмотрены архитектурой системы, но маршрутизация в payments.late отключена в текущей реализации (Beam PyFlink runtime не поддерживает ctx.timer_service()): все события обрабатываются независимо от watermark. Такое решение делает основной поток предсказуемым. В промышленном контуре маршрутизация late arrivals должна быть реализована через native Flink (Java/Scala) или отдельную процедуру replay / batch-correction с ручным контролем.</w:t>
      </w:r>
    </w:p>
    <w:p>
      <w:pPr>
        <w:spacing w:before="0" w:after="120"/>
      </w:pPr>
      <w:r>
        <w:rPr>
          <w:rFonts w:ascii="Times New Roman" w:hAnsi="Times New Roman"/>
          <w:b/>
          <w:i w:val="0"/>
          <w:sz w:val="26"/>
        </w:rPr>
        <w:t>Пример point-in-time запроса к истории платежа:</w:t>
      </w:r>
    </w:p>
    <w:p>
      <w:pPr>
        <w:spacing w:after="120"/>
      </w:pPr>
      <w:r>
        <w:rPr>
          <w:rFonts w:ascii="Consolas" w:hAnsi="Consolas"/>
          <w:sz w:val="20"/>
        </w:rPr>
        <w:t>SELECT *</w:t>
        <w:br/>
        <w:t>FROM payments.payment_history</w:t>
        <w:br/>
        <w:t>WHERE payment_id = 'PAY-001'</w:t>
        <w:br/>
        <w:t xml:space="preserve">  AND source_system = 'ACQUIRING'</w:t>
        <w:br/>
        <w:t xml:space="preserve">  AND effective_from &lt;= toDateTime64('2026-04-30 12:00:00', 3)</w:t>
        <w:br/>
        <w:t xml:space="preserve">  AND (effective_to &gt; toDateTime64('2026-04-30 12:00:00', 3)</w:t>
        <w:br/>
        <w:t xml:space="preserve">       OR effective_to IS NULL)</w:t>
        <w:br/>
        <w:t>ORDER BY version DESC</w:t>
        <w:br/>
        <w:t>LIMIT 1;</w:t>
      </w:r>
    </w:p>
    <w:p>
      <w:r>
        <w:br w:type="page"/>
      </w:r>
    </w:p>
    <w:p>
      <w:pPr>
        <w:spacing w:before="240" w:after="120"/>
        <w:jc w:val="center"/>
      </w:pPr>
      <w:r>
        <w:rPr>
          <w:rFonts w:ascii="Times New Roman" w:hAnsi="Times New Roman"/>
          <w:b/>
          <w:sz w:val="32"/>
        </w:rPr>
        <w:t>ГЛАВА 4. РЕАЛИЗАЦИЯ КОНВЕЙЕРА</w:t>
      </w:r>
    </w:p>
    <w:p>
      <w:pPr>
        <w:spacing w:before="240" w:after="120"/>
      </w:pPr>
      <w:r>
        <w:rPr>
          <w:rFonts w:ascii="Times New Roman" w:hAnsi="Times New Roman"/>
          <w:b/>
          <w:sz w:val="28"/>
        </w:rPr>
        <w:t>4.1. Структура проекта и технологический стек</w:t>
      </w:r>
    </w:p>
    <w:p>
      <w:pPr>
        <w:spacing w:before="0" w:after="120"/>
        <w:ind w:firstLine="709"/>
      </w:pPr>
      <w:r>
        <w:rPr>
          <w:rFonts w:ascii="Times New Roman" w:hAnsi="Times New Roman"/>
          <w:b w:val="0"/>
          <w:i w:val="0"/>
          <w:sz w:val="26"/>
        </w:rPr>
        <w:t>Конвейер реализован на языке Python (PyFlink 1.19) с использованием DataStream API. Структура проекта: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3402"/>
          </w:tcPr>
          <w:p>
            <w:r>
              <w:rPr>
                <w:rFonts w:ascii="Times New Roman" w:hAnsi="Times New Roman"/>
                <w:b/>
                <w:sz w:val="22"/>
              </w:rPr>
              <w:t>Модуль</w:t>
            </w:r>
          </w:p>
        </w:tc>
        <w:tc>
          <w:tcPr>
            <w:tcW w:type="dxa" w:w="6236"/>
          </w:tcPr>
          <w:p>
            <w:r>
              <w:rPr>
                <w:rFonts w:ascii="Times New Roman" w:hAnsi="Times New Roman"/>
                <w:b/>
                <w:sz w:val="22"/>
              </w:rPr>
              <w:t>Назначение</w:t>
            </w:r>
          </w:p>
        </w:tc>
      </w:tr>
      <w:tr>
        <w:tc>
          <w:tcPr>
            <w:tcW w:type="dxa" w:w="3402"/>
          </w:tcPr>
          <w:p>
            <w:r>
              <w:rPr>
                <w:rFonts w:ascii="Times New Roman" w:hAnsi="Times New Roman"/>
                <w:sz w:val="22"/>
              </w:rPr>
              <w:t>pipeline/main.py</w:t>
            </w:r>
          </w:p>
        </w:tc>
        <w:tc>
          <w:tcPr>
            <w:tcW w:type="dxa" w:w="6236"/>
          </w:tcPr>
          <w:p>
            <w:r>
              <w:rPr>
                <w:rFonts w:ascii="Times New Roman" w:hAnsi="Times New Roman"/>
                <w:sz w:val="22"/>
              </w:rPr>
              <w:t>Точка входа, определение Flink job, топология операторов</w:t>
            </w:r>
          </w:p>
        </w:tc>
      </w:tr>
      <w:tr>
        <w:tc>
          <w:tcPr>
            <w:tcW w:type="dxa" w:w="3402"/>
          </w:tcPr>
          <w:p>
            <w:r>
              <w:rPr>
                <w:rFonts w:ascii="Times New Roman" w:hAnsi="Times New Roman"/>
                <w:sz w:val="22"/>
              </w:rPr>
              <w:t>pipeline/config.py</w:t>
            </w:r>
          </w:p>
        </w:tc>
        <w:tc>
          <w:tcPr>
            <w:tcW w:type="dxa" w:w="6236"/>
          </w:tcPr>
          <w:p>
            <w:r>
              <w:rPr>
                <w:rFonts w:ascii="Times New Roman" w:hAnsi="Times New Roman"/>
                <w:sz w:val="22"/>
              </w:rPr>
              <w:t>Конфигурация (Kafka, ClickHouse, Flink)</w:t>
            </w:r>
          </w:p>
        </w:tc>
      </w:tr>
      <w:tr>
        <w:tc>
          <w:tcPr>
            <w:tcW w:type="dxa" w:w="3402"/>
          </w:tcPr>
          <w:p>
            <w:r>
              <w:rPr>
                <w:rFonts w:ascii="Times New Roman" w:hAnsi="Times New Roman"/>
                <w:sz w:val="22"/>
              </w:rPr>
              <w:t>pipeline/models/payment_event.py</w:t>
            </w:r>
          </w:p>
        </w:tc>
        <w:tc>
          <w:tcPr>
            <w:tcW w:type="dxa" w:w="6236"/>
          </w:tcPr>
          <w:p>
            <w:r>
              <w:rPr>
                <w:rFonts w:ascii="Times New Roman" w:hAnsi="Times New Roman"/>
                <w:sz w:val="22"/>
              </w:rPr>
              <w:t>Входная модель (из Kafka payments.raw)</w:t>
            </w:r>
          </w:p>
        </w:tc>
      </w:tr>
      <w:tr>
        <w:tc>
          <w:tcPr>
            <w:tcW w:type="dxa" w:w="3402"/>
          </w:tcPr>
          <w:p>
            <w:r>
              <w:rPr>
                <w:rFonts w:ascii="Times New Roman" w:hAnsi="Times New Roman"/>
                <w:sz w:val="22"/>
              </w:rPr>
              <w:t>pipeline/models/payment_processed.py</w:t>
            </w:r>
          </w:p>
        </w:tc>
        <w:tc>
          <w:tcPr>
            <w:tcW w:type="dxa" w:w="6236"/>
          </w:tcPr>
          <w:p>
            <w:r>
              <w:rPr>
                <w:rFonts w:ascii="Times New Roman" w:hAnsi="Times New Roman"/>
                <w:sz w:val="22"/>
              </w:rPr>
              <w:t>Выходная модель (в Kafka payments.processed)</w:t>
            </w:r>
          </w:p>
        </w:tc>
      </w:tr>
      <w:tr>
        <w:tc>
          <w:tcPr>
            <w:tcW w:type="dxa" w:w="3402"/>
          </w:tcPr>
          <w:p>
            <w:r>
              <w:rPr>
                <w:rFonts w:ascii="Times New Roman" w:hAnsi="Times New Roman"/>
                <w:sz w:val="22"/>
              </w:rPr>
              <w:t>pipeline/operators/validator.py</w:t>
            </w:r>
          </w:p>
        </w:tc>
        <w:tc>
          <w:tcPr>
            <w:tcW w:type="dxa" w:w="6236"/>
          </w:tcPr>
          <w:p>
            <w:r>
              <w:rPr>
                <w:rFonts w:ascii="Times New Roman" w:hAnsi="Times New Roman"/>
                <w:sz w:val="22"/>
              </w:rPr>
              <w:t>Валидация входящих событий (L1-проверки)</w:t>
            </w:r>
          </w:p>
        </w:tc>
      </w:tr>
      <w:tr>
        <w:tc>
          <w:tcPr>
            <w:tcW w:type="dxa" w:w="3402"/>
          </w:tcPr>
          <w:p>
            <w:r>
              <w:rPr>
                <w:rFonts w:ascii="Times New Roman" w:hAnsi="Times New Roman"/>
                <w:sz w:val="22"/>
              </w:rPr>
              <w:t>pipeline/operators/enricher.py</w:t>
            </w:r>
          </w:p>
        </w:tc>
        <w:tc>
          <w:tcPr>
            <w:tcW w:type="dxa" w:w="6236"/>
          </w:tcPr>
          <w:p>
            <w:r>
              <w:rPr>
                <w:rFonts w:ascii="Times New Roman" w:hAnsi="Times New Roman"/>
                <w:sz w:val="22"/>
              </w:rPr>
              <w:t>Обогащение: курсы валют, справочник мерчантов</w:t>
            </w:r>
          </w:p>
        </w:tc>
      </w:tr>
      <w:tr>
        <w:tc>
          <w:tcPr>
            <w:tcW w:type="dxa" w:w="3402"/>
          </w:tcPr>
          <w:p>
            <w:r>
              <w:rPr>
                <w:rFonts w:ascii="Times New Roman" w:hAnsi="Times New Roman"/>
                <w:sz w:val="22"/>
              </w:rPr>
              <w:t>pipeline/operators/scd_merger.py</w:t>
            </w:r>
          </w:p>
        </w:tc>
        <w:tc>
          <w:tcPr>
            <w:tcW w:type="dxa" w:w="6236"/>
          </w:tcPr>
          <w:p>
            <w:r>
              <w:rPr>
                <w:rFonts w:ascii="Times New Roman" w:hAnsi="Times New Roman"/>
                <w:sz w:val="22"/>
              </w:rPr>
              <w:t>Stateful SCD Type 2 merge (KeyedProcessFunction, hashmap state backend)</w:t>
            </w:r>
          </w:p>
        </w:tc>
      </w:tr>
      <w:tr>
        <w:tc>
          <w:tcPr>
            <w:tcW w:type="dxa" w:w="3402"/>
          </w:tcPr>
          <w:p>
            <w:r>
              <w:rPr>
                <w:rFonts w:ascii="Times New Roman" w:hAnsi="Times New Roman"/>
                <w:sz w:val="22"/>
              </w:rPr>
              <w:t>pipeline/sinks/clickhouse_sink.py</w:t>
            </w:r>
          </w:p>
        </w:tc>
        <w:tc>
          <w:tcPr>
            <w:tcW w:type="dxa" w:w="6236"/>
          </w:tcPr>
          <w:p>
            <w:r>
              <w:rPr>
                <w:rFonts w:ascii="Times New Roman" w:hAnsi="Times New Roman"/>
                <w:sz w:val="22"/>
              </w:rPr>
              <w:t>Батчевая запись в ClickHouse</w:t>
            </w:r>
          </w:p>
        </w:tc>
      </w:tr>
      <w:tr>
        <w:tc>
          <w:tcPr>
            <w:tcW w:type="dxa" w:w="3402"/>
          </w:tcPr>
          <w:p>
            <w:r>
              <w:rPr>
                <w:rFonts w:ascii="Times New Roman" w:hAnsi="Times New Roman"/>
                <w:sz w:val="22"/>
              </w:rPr>
              <w:t>pipeline/sinks/kafka_sink.py</w:t>
            </w:r>
          </w:p>
        </w:tc>
        <w:tc>
          <w:tcPr>
            <w:tcW w:type="dxa" w:w="6236"/>
          </w:tcPr>
          <w:p>
            <w:r>
              <w:rPr>
                <w:rFonts w:ascii="Times New Roman" w:hAnsi="Times New Roman"/>
                <w:sz w:val="22"/>
              </w:rPr>
              <w:t>Запись в payments.processed и payments.dlq</w:t>
            </w:r>
          </w:p>
        </w:tc>
      </w:tr>
      <w:tr>
        <w:tc>
          <w:tcPr>
            <w:tcW w:type="dxa" w:w="3402"/>
          </w:tcPr>
          <w:p>
            <w:r>
              <w:rPr>
                <w:rFonts w:ascii="Times New Roman" w:hAnsi="Times New Roman"/>
                <w:sz w:val="22"/>
              </w:rPr>
              <w:t>generator/payment_generator.py</w:t>
            </w:r>
          </w:p>
        </w:tc>
        <w:tc>
          <w:tcPr>
            <w:tcW w:type="dxa" w:w="6236"/>
          </w:tcPr>
          <w:p>
            <w:r>
              <w:rPr>
                <w:rFonts w:ascii="Times New Roman" w:hAnsi="Times New Roman"/>
                <w:sz w:val="22"/>
              </w:rPr>
              <w:t>Генератор синтетических платёжных событий</w:t>
            </w:r>
          </w:p>
        </w:tc>
      </w:tr>
      <w:tr>
        <w:tc>
          <w:tcPr>
            <w:tcW w:type="dxa" w:w="3402"/>
          </w:tcPr>
          <w:p>
            <w:r>
              <w:rPr>
                <w:rFonts w:ascii="Times New Roman" w:hAnsi="Times New Roman"/>
                <w:sz w:val="22"/>
              </w:rPr>
              <w:t>infra/clickhouse/init.sql</w:t>
            </w:r>
          </w:p>
        </w:tc>
        <w:tc>
          <w:tcPr>
            <w:tcW w:type="dxa" w:w="6236"/>
          </w:tcPr>
          <w:p>
            <w:r>
              <w:rPr>
                <w:rFonts w:ascii="Times New Roman" w:hAnsi="Times New Roman"/>
                <w:sz w:val="22"/>
              </w:rPr>
              <w:t>DDL: создание таблиц payment_history, payment_current</w:t>
            </w:r>
          </w:p>
        </w:tc>
      </w:tr>
      <w:tr>
        <w:tc>
          <w:tcPr>
            <w:tcW w:type="dxa" w:w="3402"/>
          </w:tcPr>
          <w:p>
            <w:r>
              <w:rPr>
                <w:rFonts w:ascii="Times New Roman" w:hAnsi="Times New Roman"/>
                <w:sz w:val="22"/>
              </w:rPr>
              <w:t>docker-compose.yml</w:t>
            </w:r>
          </w:p>
        </w:tc>
        <w:tc>
          <w:tcPr>
            <w:tcW w:type="dxa" w:w="6236"/>
          </w:tcPr>
          <w:p>
            <w:r>
              <w:rPr>
                <w:rFonts w:ascii="Times New Roman" w:hAnsi="Times New Roman"/>
                <w:sz w:val="22"/>
              </w:rPr>
              <w:t>Оркестрация всех сервисов</w:t>
            </w:r>
          </w:p>
        </w:tc>
      </w:tr>
    </w:tbl>
    <w:p>
      <w:pPr>
        <w:spacing w:before="0" w:after="120"/>
      </w:pPr>
      <w:r>
        <w:rPr>
          <w:rFonts w:ascii="Times New Roman" w:hAnsi="Times New Roman"/>
          <w:b/>
          <w:i w:val="0"/>
          <w:sz w:val="26"/>
        </w:rPr>
        <w:t>Технологический стек Flink Job: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2835"/>
          </w:tcPr>
          <w:p>
            <w:r>
              <w:rPr>
                <w:rFonts w:ascii="Times New Roman" w:hAnsi="Times New Roman"/>
                <w:b/>
                <w:sz w:val="22"/>
              </w:rPr>
              <w:t>Аспект</w:t>
            </w:r>
          </w:p>
        </w:tc>
        <w:tc>
          <w:tcPr>
            <w:tcW w:type="dxa" w:w="6803"/>
          </w:tcPr>
          <w:p>
            <w:r>
              <w:rPr>
                <w:rFonts w:ascii="Times New Roman" w:hAnsi="Times New Roman"/>
                <w:b/>
                <w:sz w:val="22"/>
              </w:rPr>
              <w:t>Решение</w:t>
            </w:r>
          </w:p>
        </w:tc>
      </w:tr>
      <w:tr>
        <w:tc>
          <w:tcPr>
            <w:tcW w:type="dxa" w:w="2835"/>
          </w:tcPr>
          <w:p>
            <w:r>
              <w:rPr>
                <w:rFonts w:ascii="Times New Roman" w:hAnsi="Times New Roman"/>
                <w:sz w:val="22"/>
              </w:rPr>
              <w:t>Язык реализации</w:t>
            </w:r>
          </w:p>
        </w:tc>
        <w:tc>
          <w:tcPr>
            <w:tcW w:type="dxa" w:w="6803"/>
          </w:tcPr>
          <w:p>
            <w:r>
              <w:rPr>
                <w:rFonts w:ascii="Times New Roman" w:hAnsi="Times New Roman"/>
                <w:sz w:val="22"/>
              </w:rPr>
              <w:t>Python (PyFlink 1.19)</w:t>
            </w:r>
          </w:p>
        </w:tc>
      </w:tr>
      <w:tr>
        <w:tc>
          <w:tcPr>
            <w:tcW w:type="dxa" w:w="2835"/>
          </w:tcPr>
          <w:p>
            <w:r>
              <w:rPr>
                <w:rFonts w:ascii="Times New Roman" w:hAnsi="Times New Roman"/>
                <w:sz w:val="22"/>
              </w:rPr>
              <w:t>Модель выполнения</w:t>
            </w:r>
          </w:p>
        </w:tc>
        <w:tc>
          <w:tcPr>
            <w:tcW w:type="dxa" w:w="6803"/>
          </w:tcPr>
          <w:p>
            <w:r>
              <w:rPr>
                <w:rFonts w:ascii="Times New Roman" w:hAnsi="Times New Roman"/>
                <w:sz w:val="22"/>
              </w:rPr>
              <w:t>DataStream API — нативный потоковый режим</w:t>
            </w:r>
          </w:p>
        </w:tc>
      </w:tr>
      <w:tr>
        <w:tc>
          <w:tcPr>
            <w:tcW w:type="dxa" w:w="2835"/>
          </w:tcPr>
          <w:p>
            <w:r>
              <w:rPr>
                <w:rFonts w:ascii="Times New Roman" w:hAnsi="Times New Roman"/>
                <w:sz w:val="22"/>
              </w:rPr>
              <w:t>State backend</w:t>
            </w:r>
          </w:p>
        </w:tc>
        <w:tc>
          <w:tcPr>
            <w:tcW w:type="dxa" w:w="6803"/>
          </w:tcPr>
          <w:p>
            <w:r>
              <w:rPr>
                <w:rFonts w:ascii="Times New Roman" w:hAnsi="Times New Roman"/>
                <w:sz w:val="22"/>
              </w:rPr>
              <w:t>hashmap (dev / прототип); RocksDB — production-расширение (не реализовано)</w:t>
            </w:r>
          </w:p>
        </w:tc>
      </w:tr>
      <w:tr>
        <w:tc>
          <w:tcPr>
            <w:tcW w:type="dxa" w:w="2835"/>
          </w:tcPr>
          <w:p>
            <w:r>
              <w:rPr>
                <w:rFonts w:ascii="Times New Roman" w:hAnsi="Times New Roman"/>
                <w:sz w:val="22"/>
              </w:rPr>
              <w:t>Checkpoint интервал</w:t>
            </w:r>
          </w:p>
        </w:tc>
        <w:tc>
          <w:tcPr>
            <w:tcW w:type="dxa" w:w="6803"/>
          </w:tcPr>
          <w:p>
            <w:r>
              <w:rPr>
                <w:rFonts w:ascii="Times New Roman" w:hAnsi="Times New Roman"/>
                <w:sz w:val="22"/>
              </w:rPr>
              <w:t>30 секунд</w:t>
            </w:r>
          </w:p>
        </w:tc>
      </w:tr>
      <w:tr>
        <w:tc>
          <w:tcPr>
            <w:tcW w:type="dxa" w:w="2835"/>
          </w:tcPr>
          <w:p>
            <w:r>
              <w:rPr>
                <w:rFonts w:ascii="Times New Roman" w:hAnsi="Times New Roman"/>
                <w:sz w:val="22"/>
              </w:rPr>
              <w:t>Watermark стратегия</w:t>
            </w:r>
          </w:p>
        </w:tc>
        <w:tc>
          <w:tcPr>
            <w:tcW w:type="dxa" w:w="6803"/>
          </w:tcPr>
          <w:p>
            <w:r>
              <w:rPr>
                <w:rFonts w:ascii="Times New Roman" w:hAnsi="Times New Roman"/>
                <w:sz w:val="22"/>
              </w:rPr>
              <w:t>BoundedOutOfOrdernessWatermark(10 мин) по event_ts</w:t>
            </w:r>
          </w:p>
        </w:tc>
      </w:tr>
      <w:tr>
        <w:tc>
          <w:tcPr>
            <w:tcW w:type="dxa" w:w="2835"/>
          </w:tcPr>
          <w:p>
            <w:r>
              <w:rPr>
                <w:rFonts w:ascii="Times New Roman" w:hAnsi="Times New Roman"/>
                <w:sz w:val="22"/>
              </w:rPr>
              <w:t>Параллелизм</w:t>
            </w:r>
          </w:p>
        </w:tc>
        <w:tc>
          <w:tcPr>
            <w:tcW w:type="dxa" w:w="6803"/>
          </w:tcPr>
          <w:p>
            <w:r>
              <w:rPr>
                <w:rFonts w:ascii="Times New Roman" w:hAnsi="Times New Roman"/>
                <w:sz w:val="22"/>
              </w:rPr>
              <w:t>Настраивается через --parallelism (default: 4)</w:t>
            </w:r>
          </w:p>
        </w:tc>
      </w:tr>
      <w:tr>
        <w:tc>
          <w:tcPr>
            <w:tcW w:type="dxa" w:w="2835"/>
          </w:tcPr>
          <w:p>
            <w:r>
              <w:rPr>
                <w:rFonts w:ascii="Times New Roman" w:hAnsi="Times New Roman"/>
                <w:sz w:val="22"/>
              </w:rPr>
              <w:t>Гарантии</w:t>
            </w:r>
          </w:p>
        </w:tc>
        <w:tc>
          <w:tcPr>
            <w:tcW w:type="dxa" w:w="6803"/>
          </w:tcPr>
          <w:p>
            <w:r>
              <w:rPr>
                <w:rFonts w:ascii="Times New Roman" w:hAnsi="Times New Roman"/>
                <w:sz w:val="22"/>
              </w:rPr>
              <w:t>At-least-once + идемпотентный sink = effectively exactly-once</w:t>
            </w:r>
          </w:p>
        </w:tc>
      </w:tr>
      <w:tr>
        <w:tc>
          <w:tcPr>
            <w:tcW w:type="dxa" w:w="2835"/>
          </w:tcPr>
          <w:p>
            <w:r>
              <w:rPr>
                <w:rFonts w:ascii="Times New Roman" w:hAnsi="Times New Roman"/>
                <w:sz w:val="22"/>
              </w:rPr>
              <w:t>Сериализация</w:t>
            </w:r>
          </w:p>
        </w:tc>
        <w:tc>
          <w:tcPr>
            <w:tcW w:type="dxa" w:w="6803"/>
          </w:tcPr>
          <w:p>
            <w:r>
              <w:rPr>
                <w:rFonts w:ascii="Times New Roman" w:hAnsi="Times New Roman"/>
                <w:sz w:val="22"/>
              </w:rPr>
              <w:t>JSON (SimpleStringSchema) — реализовано; Avro + Schema Registry — production-расширение (в прототипе не реализовано)</w:t>
            </w:r>
          </w:p>
        </w:tc>
      </w:tr>
    </w:tbl>
    <w:p>
      <w:pPr>
        <w:spacing w:before="240" w:after="120"/>
      </w:pPr>
      <w:r>
        <w:rPr>
          <w:rFonts w:ascii="Times New Roman" w:hAnsi="Times New Roman"/>
          <w:b/>
          <w:sz w:val="28"/>
        </w:rPr>
        <w:t>4.2. Операторы обработки</w:t>
      </w:r>
    </w:p>
    <w:p>
      <w:pPr>
        <w:spacing w:before="0" w:after="120"/>
        <w:ind w:firstLine="709"/>
      </w:pPr>
      <w:r>
        <w:rPr>
          <w:rFonts w:ascii="Times New Roman" w:hAnsi="Times New Roman"/>
          <w:b w:val="0"/>
          <w:i w:val="0"/>
          <w:sz w:val="26"/>
        </w:rPr>
        <w:t>ValidatorOperator (stateless map + split) проверяет структурные инварианты: NOT_NULL (DQ-001), NOT_BLANK (DQ-002), VALID_CURRENCY ISO 4217 (DQ-003), POSITIVE_AMOUNT &gt; 0 (DQ-005), VALID_TIMESTAMP в диапазоне [-30 дней; +60 с] (DQ-006). При нарушении событие направляется в DLQ с кодом ошибки.</w:t>
      </w:r>
    </w:p>
    <w:p>
      <w:pPr>
        <w:spacing w:before="0" w:after="120"/>
        <w:ind w:firstLine="709"/>
      </w:pPr>
      <w:r>
        <w:rPr>
          <w:rFonts w:ascii="Times New Roman" w:hAnsi="Times New Roman"/>
          <w:b w:val="0"/>
          <w:i w:val="0"/>
          <w:sz w:val="26"/>
        </w:rPr>
        <w:t>EnricherOperator (stateless map + TTL-cache) нормализует валюту к RUB по курсу на момент event_ts, маппирует статус источника к внутренней номенклатуре (PENDING, AUTHORIZED, COMPLETED, FAILED, REFUNDED, CANCELLED), обогащает событие именем и категорией мерчанта из справочника.</w:t>
      </w:r>
    </w:p>
    <w:p>
      <w:pPr>
        <w:spacing w:before="0" w:after="120"/>
        <w:ind w:firstLine="709"/>
      </w:pPr>
      <w:r>
        <w:rPr>
          <w:rFonts w:ascii="Times New Roman" w:hAnsi="Times New Roman"/>
          <w:b w:val="0"/>
          <w:i w:val="0"/>
          <w:sz w:val="26"/>
        </w:rPr>
        <w:t>ScdMergerOperator (stateful KeyedProcessFunction, ключ = payment_id + source_system) загружает текущую версию из hashmap state, вычисляет SHA-256 хэш значимых полей (status_normalized, event_type, amount_rub), при совпадении хэша событие признаётся дублем и пропускается (дедупликация L2+L3). При изменении хэша создаётся новая версия: version++, effective_from = event_ts, предыдущей версии устанавливается effective_to = event_ts.</w:t>
      </w:r>
    </w:p>
    <w:p>
      <w:pPr>
        <w:spacing w:before="240" w:after="120"/>
      </w:pPr>
      <w:r>
        <w:rPr>
          <w:rFonts w:ascii="Times New Roman" w:hAnsi="Times New Roman"/>
          <w:b/>
          <w:sz w:val="28"/>
        </w:rPr>
        <w:t>4.3. Дедупликация и гарантии exactly-once</w:t>
      </w:r>
    </w:p>
    <w:p>
      <w:pPr>
        <w:spacing w:before="0" w:after="120"/>
        <w:ind w:firstLine="709"/>
      </w:pPr>
      <w:r>
        <w:rPr>
          <w:rFonts w:ascii="Times New Roman" w:hAnsi="Times New Roman"/>
          <w:b w:val="0"/>
          <w:i w:val="0"/>
          <w:sz w:val="26"/>
        </w:rPr>
        <w:t>Ни один компонент стека не обеспечивает exactly-once сквозь всю цепочку. Реализована композитная стратегия из трёх уровней: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19"/>
        <w:gridCol w:w="3419"/>
        <w:gridCol w:w="3419"/>
      </w:tblGrid>
      <w:tr>
        <w:tc>
          <w:tcPr>
            <w:tcW w:type="dxa" w:w="850"/>
          </w:tcPr>
          <w:p>
            <w:r>
              <w:rPr>
                <w:rFonts w:ascii="Times New Roman" w:hAnsi="Times New Roman"/>
                <w:b/>
                <w:sz w:val="22"/>
              </w:rPr>
              <w:t>Уровень</w:t>
            </w:r>
          </w:p>
        </w:tc>
        <w:tc>
          <w:tcPr>
            <w:tcW w:type="dxa" w:w="4819"/>
          </w:tcPr>
          <w:p>
            <w:r>
              <w:rPr>
                <w:rFonts w:ascii="Times New Roman" w:hAnsi="Times New Roman"/>
                <w:b/>
                <w:sz w:val="22"/>
              </w:rPr>
              <w:t>Механизм</w:t>
            </w:r>
          </w:p>
        </w:tc>
        <w:tc>
          <w:tcPr>
            <w:tcW w:type="dxa" w:w="3969"/>
          </w:tcPr>
          <w:p>
            <w:r>
              <w:rPr>
                <w:rFonts w:ascii="Times New Roman" w:hAnsi="Times New Roman"/>
                <w:b/>
                <w:sz w:val="22"/>
              </w:rPr>
              <w:t>Охват</w:t>
            </w:r>
          </w:p>
        </w:tc>
      </w:tr>
      <w:tr>
        <w:tc>
          <w:tcPr>
            <w:tcW w:type="dxa" w:w="850"/>
          </w:tcPr>
          <w:p>
            <w:r>
              <w:rPr>
                <w:rFonts w:ascii="Times New Roman" w:hAnsi="Times New Roman"/>
                <w:sz w:val="22"/>
              </w:rPr>
              <w:t>L1</w:t>
            </w:r>
          </w:p>
        </w:tc>
        <w:tc>
          <w:tcPr>
            <w:tcW w:type="dxa" w:w="4819"/>
          </w:tcPr>
          <w:p>
            <w:r>
              <w:rPr>
                <w:rFonts w:ascii="Times New Roman" w:hAnsi="Times New Roman"/>
                <w:sz w:val="22"/>
              </w:rPr>
              <w:t>Kafka idempotent producer (sequence number per partition)</w:t>
            </w:r>
          </w:p>
        </w:tc>
        <w:tc>
          <w:tcPr>
            <w:tcW w:type="dxa" w:w="3969"/>
          </w:tcPr>
          <w:p>
            <w:r>
              <w:rPr>
                <w:rFonts w:ascii="Times New Roman" w:hAnsi="Times New Roman"/>
                <w:sz w:val="22"/>
              </w:rPr>
              <w:t>Дубли при повторной отправке продюсером</w:t>
            </w:r>
          </w:p>
        </w:tc>
      </w:tr>
      <w:tr>
        <w:tc>
          <w:tcPr>
            <w:tcW w:type="dxa" w:w="850"/>
          </w:tcPr>
          <w:p>
            <w:r>
              <w:rPr>
                <w:rFonts w:ascii="Times New Roman" w:hAnsi="Times New Roman"/>
                <w:sz w:val="22"/>
              </w:rPr>
              <w:t>L2</w:t>
            </w:r>
          </w:p>
        </w:tc>
        <w:tc>
          <w:tcPr>
            <w:tcW w:type="dxa" w:w="4819"/>
          </w:tcPr>
          <w:p>
            <w:r>
              <w:rPr>
                <w:rFonts w:ascii="Times New Roman" w:hAnsi="Times New Roman"/>
                <w:sz w:val="22"/>
              </w:rPr>
              <w:t>Flink MapState[event_id → ts] с TTL 24 ч</w:t>
            </w:r>
          </w:p>
        </w:tc>
        <w:tc>
          <w:tcPr>
            <w:tcW w:type="dxa" w:w="3969"/>
          </w:tcPr>
          <w:p>
            <w:r>
              <w:rPr>
                <w:rFonts w:ascii="Times New Roman" w:hAnsi="Times New Roman"/>
                <w:sz w:val="22"/>
              </w:rPr>
              <w:t>Дубли в пределах Flink job (при retry или replay)</w:t>
            </w:r>
          </w:p>
        </w:tc>
      </w:tr>
      <w:tr>
        <w:tc>
          <w:tcPr>
            <w:tcW w:type="dxa" w:w="850"/>
          </w:tcPr>
          <w:p>
            <w:r>
              <w:rPr>
                <w:rFonts w:ascii="Times New Roman" w:hAnsi="Times New Roman"/>
                <w:sz w:val="22"/>
              </w:rPr>
              <w:t>L3</w:t>
            </w:r>
          </w:p>
        </w:tc>
        <w:tc>
          <w:tcPr>
            <w:tcW w:type="dxa" w:w="4819"/>
          </w:tcPr>
          <w:p>
            <w:r>
              <w:rPr>
                <w:rFonts w:ascii="Times New Roman" w:hAnsi="Times New Roman"/>
                <w:sz w:val="22"/>
              </w:rPr>
              <w:t>payment_current ReplacingMergeTree(version) — дедупликация по версии; payment_history ReplacingMergeTree(processed_at) — защита ключом (payment_id, source_system, version) при повторном insert/replay</w:t>
            </w:r>
          </w:p>
        </w:tc>
        <w:tc>
          <w:tcPr>
            <w:tcW w:type="dxa" w:w="3969"/>
          </w:tcPr>
          <w:p>
            <w:r>
              <w:rPr>
                <w:rFonts w:ascii="Times New Roman" w:hAnsi="Times New Roman"/>
                <w:sz w:val="22"/>
              </w:rPr>
              <w:t>Дубли в payment_current при повторной записи</w:t>
            </w:r>
          </w:p>
        </w:tc>
      </w:tr>
    </w:tbl>
    <w:p>
      <w:pPr>
        <w:spacing w:before="0" w:after="120"/>
        <w:ind w:firstLine="709"/>
      </w:pPr>
      <w:r>
        <w:rPr>
          <w:rFonts w:ascii="Times New Roman" w:hAnsi="Times New Roman"/>
          <w:b w:val="0"/>
          <w:i w:val="0"/>
          <w:sz w:val="26"/>
        </w:rPr>
        <w:t>Итог: effectively-exactly-once — событие может поступить несколько раз, но в хранилище появится ровно одна запись. 9/10 функциональных требований подтверждены тест-кейсами; TC-B07 (late arrivals) — xfail из-за ограничений Beam runtime.</w:t>
      </w:r>
    </w:p>
    <w:p>
      <w:pPr>
        <w:spacing w:before="240" w:after="120"/>
      </w:pPr>
      <w:r>
        <w:rPr>
          <w:rFonts w:ascii="Times New Roman" w:hAnsi="Times New Roman"/>
          <w:b/>
          <w:sz w:val="28"/>
        </w:rPr>
        <w:t>4.4. Отказоустойчивость и эксплуатационные сценарии</w:t>
      </w:r>
    </w:p>
    <w:p>
      <w:pPr>
        <w:spacing w:before="0" w:after="120"/>
        <w:ind w:firstLine="709"/>
      </w:pPr>
      <w:r>
        <w:rPr>
          <w:rFonts w:ascii="Times New Roman" w:hAnsi="Times New Roman"/>
          <w:b w:val="0"/>
          <w:i w:val="0"/>
          <w:sz w:val="26"/>
        </w:rPr>
        <w:t>Так как конвейер относится к потоковым системам, корректность определяется не только нормальной обработкой одиночного события, но и поведением при отказах. В работе рассмотрены основные отказные сценарии: повторная отправка producer, рестарт Flink job, временная недоступность ClickHouse, накопление consumer lag и появление поздних событий. Для каждого сценария выбрана реакция, сохраняющая RPO = 0 и ограничивающая влияние на downstream-потребителей.</w:t>
      </w:r>
    </w:p>
    <w:p>
      <w:pPr>
        <w:spacing w:before="0" w:after="120"/>
      </w:pPr>
      <w:r>
        <w:rPr>
          <w:rFonts w:ascii="Times New Roman" w:hAnsi="Times New Roman"/>
          <w:b/>
          <w:i w:val="0"/>
          <w:sz w:val="24"/>
        </w:rPr>
        <w:t>Таблица 2 – Эксплуатационные сценарии и реакция системы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19"/>
        <w:gridCol w:w="3419"/>
        <w:gridCol w:w="3419"/>
      </w:tblGrid>
      <w:tr>
        <w:tc>
          <w:tcPr>
            <w:tcW w:type="dxa" w:w="2268"/>
          </w:tcPr>
          <w:p>
            <w:r>
              <w:rPr>
                <w:rFonts w:ascii="Times New Roman" w:hAnsi="Times New Roman"/>
                <w:b/>
                <w:sz w:val="22"/>
              </w:rPr>
              <w:t>Сценарий</w:t>
            </w:r>
          </w:p>
        </w:tc>
        <w:tc>
          <w:tcPr>
            <w:tcW w:type="dxa" w:w="2835"/>
          </w:tcPr>
          <w:p>
            <w:r>
              <w:rPr>
                <w:rFonts w:ascii="Times New Roman" w:hAnsi="Times New Roman"/>
                <w:b/>
                <w:sz w:val="22"/>
              </w:rPr>
              <w:t>Риск</w:t>
            </w:r>
          </w:p>
        </w:tc>
        <w:tc>
          <w:tcPr>
            <w:tcW w:type="dxa" w:w="4535"/>
          </w:tcPr>
          <w:p>
            <w:r>
              <w:rPr>
                <w:rFonts w:ascii="Times New Roman" w:hAnsi="Times New Roman"/>
                <w:b/>
                <w:sz w:val="22"/>
              </w:rPr>
              <w:t>Механизм обработки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22"/>
              </w:rPr>
              <w:t>Повтор producer.send</w:t>
            </w:r>
          </w:p>
        </w:tc>
        <w:tc>
          <w:tcPr>
            <w:tcW w:type="dxa" w:w="2835"/>
          </w:tcPr>
          <w:p>
            <w:r>
              <w:rPr>
                <w:rFonts w:ascii="Times New Roman" w:hAnsi="Times New Roman"/>
                <w:sz w:val="22"/>
              </w:rPr>
              <w:t>Дубликаты в Kafka</w:t>
            </w:r>
          </w:p>
        </w:tc>
        <w:tc>
          <w:tcPr>
            <w:tcW w:type="dxa" w:w="4535"/>
          </w:tcPr>
          <w:p>
            <w:r>
              <w:rPr>
                <w:rFonts w:ascii="Times New Roman" w:hAnsi="Times New Roman"/>
                <w:sz w:val="22"/>
              </w:rPr>
              <w:t>enable.idempotence=true, acks=all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22"/>
              </w:rPr>
              <w:t>Рестарт Flink TaskManager</w:t>
            </w:r>
          </w:p>
        </w:tc>
        <w:tc>
          <w:tcPr>
            <w:tcW w:type="dxa" w:w="2835"/>
          </w:tcPr>
          <w:p>
            <w:r>
              <w:rPr>
                <w:rFonts w:ascii="Times New Roman" w:hAnsi="Times New Roman"/>
                <w:sz w:val="22"/>
              </w:rPr>
              <w:t>Повтор обработки после checkpoint</w:t>
            </w:r>
          </w:p>
        </w:tc>
        <w:tc>
          <w:tcPr>
            <w:tcW w:type="dxa" w:w="4535"/>
          </w:tcPr>
          <w:p>
            <w:r>
              <w:rPr>
                <w:rFonts w:ascii="Times New Roman" w:hAnsi="Times New Roman"/>
                <w:sz w:val="22"/>
              </w:rPr>
              <w:t>Kafka offsets + Flink checkpoint + L2/L3 дедупликация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22"/>
              </w:rPr>
              <w:t>Недоступен ClickHouse</w:t>
            </w:r>
          </w:p>
        </w:tc>
        <w:tc>
          <w:tcPr>
            <w:tcW w:type="dxa" w:w="2835"/>
          </w:tcPr>
          <w:p>
            <w:r>
              <w:rPr>
                <w:rFonts w:ascii="Times New Roman" w:hAnsi="Times New Roman"/>
                <w:sz w:val="22"/>
              </w:rPr>
              <w:t>Рост буфера sink и lag</w:t>
            </w:r>
          </w:p>
        </w:tc>
        <w:tc>
          <w:tcPr>
            <w:tcW w:type="dxa" w:w="4535"/>
          </w:tcPr>
          <w:p>
            <w:r>
              <w:rPr>
                <w:rFonts w:ascii="Times New Roman" w:hAnsi="Times New Roman"/>
                <w:sz w:val="22"/>
              </w:rPr>
              <w:t>Retry с backoff, повторная запись идемпотентна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22"/>
              </w:rPr>
              <w:t>Пиковая нагрузка</w:t>
            </w:r>
          </w:p>
        </w:tc>
        <w:tc>
          <w:tcPr>
            <w:tcW w:type="dxa" w:w="2835"/>
          </w:tcPr>
          <w:p>
            <w:r>
              <w:rPr>
                <w:rFonts w:ascii="Times New Roman" w:hAnsi="Times New Roman"/>
                <w:sz w:val="22"/>
              </w:rPr>
              <w:t>p99 latency &gt; SLA</w:t>
            </w:r>
          </w:p>
        </w:tc>
        <w:tc>
          <w:tcPr>
            <w:tcW w:type="dxa" w:w="4535"/>
          </w:tcPr>
          <w:p>
            <w:r>
              <w:rPr>
                <w:rFonts w:ascii="Times New Roman" w:hAnsi="Times New Roman"/>
                <w:sz w:val="22"/>
              </w:rPr>
              <w:t>Буферизация в Kafka, масштабирование parallelism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22"/>
              </w:rPr>
              <w:t>Late arrival</w:t>
            </w:r>
          </w:p>
        </w:tc>
        <w:tc>
          <w:tcPr>
            <w:tcW w:type="dxa" w:w="2835"/>
          </w:tcPr>
          <w:p>
            <w:r>
              <w:rPr>
                <w:rFonts w:ascii="Times New Roman" w:hAnsi="Times New Roman"/>
                <w:sz w:val="22"/>
              </w:rPr>
              <w:t>Нарушение SCD2-диапазонов</w:t>
            </w:r>
          </w:p>
        </w:tc>
        <w:tc>
          <w:tcPr>
            <w:tcW w:type="dxa" w:w="4535"/>
          </w:tcPr>
          <w:p>
            <w:r>
              <w:rPr>
                <w:rFonts w:ascii="Times New Roman" w:hAnsi="Times New Roman"/>
                <w:sz w:val="22"/>
              </w:rPr>
              <w:t>Маршрутизация в payments.late (не реализовано в Beam runtime; все события обрабатываются в основном потоке)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22"/>
              </w:rPr>
              <w:t>Невалидное событие</w:t>
            </w:r>
          </w:p>
        </w:tc>
        <w:tc>
          <w:tcPr>
            <w:tcW w:type="dxa" w:w="2835"/>
          </w:tcPr>
          <w:p>
            <w:r>
              <w:rPr>
                <w:rFonts w:ascii="Times New Roman" w:hAnsi="Times New Roman"/>
                <w:sz w:val="22"/>
              </w:rPr>
              <w:t>Остановка job или загрязнение хранилища</w:t>
            </w:r>
          </w:p>
        </w:tc>
        <w:tc>
          <w:tcPr>
            <w:tcW w:type="dxa" w:w="4535"/>
          </w:tcPr>
          <w:p>
            <w:r>
              <w:rPr>
                <w:rFonts w:ascii="Times New Roman" w:hAnsi="Times New Roman"/>
                <w:sz w:val="22"/>
              </w:rPr>
              <w:t>DLQ с кодом ошибки и исходным payload</w:t>
            </w:r>
          </w:p>
        </w:tc>
      </w:tr>
    </w:tbl>
    <w:p>
      <w:pPr>
        <w:spacing w:before="0" w:after="120"/>
        <w:ind w:firstLine="709"/>
      </w:pPr>
      <w:r>
        <w:rPr>
          <w:rFonts w:ascii="Times New Roman" w:hAnsi="Times New Roman"/>
          <w:b w:val="0"/>
          <w:i w:val="0"/>
          <w:sz w:val="26"/>
        </w:rPr>
        <w:t>Отдельно важно различать delivery guarantees и storage semantics. Flink job сконфигурирован как at-least-once поток с checkpoint, поэтому после рестарта часть событий может быть обработана повторно. Однако повторная обработка не должна менять наблюдаемое состояние хранилища: event_id хранится в MapState, контентный SHA-256 хэш отсекает события без изменения значимых полей, а ReplacingMergeTree защищает представление payment_current от повторной записи одной версии. Поэтому итоговая гарантия формулируется как effectively-exactly-once на уровне аналитического состояния, а не как строгая транзакционная exactly-once семантика всей распределённой цепочки.</w:t>
      </w:r>
    </w:p>
    <w:p>
      <w:pPr>
        <w:spacing w:before="0" w:after="120"/>
        <w:ind w:firstLine="709"/>
      </w:pPr>
      <w:r>
        <w:rPr>
          <w:rFonts w:ascii="Times New Roman" w:hAnsi="Times New Roman"/>
          <w:b w:val="0"/>
          <w:i w:val="0"/>
          <w:sz w:val="26"/>
        </w:rPr>
        <w:t>Для эксплуатации предусмотрены метрики, по которым можно принять решение о масштабировании: consumer lag, p99 e2e latency, checkpoint duration, DLQ rate, ошибки вставки в ClickHouse и heap utilization. Если consumer lag растёт при стабильной входной нагрузке, узким местом считается Flink job или sink; если увеличивается checkpoint duration, требуется анализ размера state и скорости state backend; если растёт DLQ rate, проблема относится к качеству входных данных или изменению контракта события.</w:t>
      </w:r>
    </w:p>
    <w:p>
      <w:r>
        <w:br w:type="page"/>
      </w:r>
    </w:p>
    <w:p>
      <w:pPr>
        <w:spacing w:before="240" w:after="120"/>
        <w:jc w:val="center"/>
      </w:pPr>
      <w:r>
        <w:rPr>
          <w:rFonts w:ascii="Times New Roman" w:hAnsi="Times New Roman"/>
          <w:b/>
          <w:sz w:val="32"/>
        </w:rPr>
        <w:t>ГЛАВА 5. КАЧЕСТВО ДАННЫХ И НАБЛЮДАЕМОСТЬ</w:t>
      </w:r>
    </w:p>
    <w:p>
      <w:pPr>
        <w:spacing w:before="240" w:after="120"/>
      </w:pPr>
      <w:r>
        <w:rPr>
          <w:rFonts w:ascii="Times New Roman" w:hAnsi="Times New Roman"/>
          <w:b/>
          <w:sz w:val="28"/>
        </w:rPr>
        <w:t>5.1. Трёхуровневые DQ-проверки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64"/>
        <w:gridCol w:w="2564"/>
        <w:gridCol w:w="2564"/>
        <w:gridCol w:w="2564"/>
      </w:tblGrid>
      <w:tr>
        <w:tc>
          <w:tcPr>
            <w:tcW w:type="dxa" w:w="1984"/>
          </w:tcPr>
          <w:p>
            <w:r>
              <w:rPr>
                <w:rFonts w:ascii="Times New Roman" w:hAnsi="Times New Roman"/>
                <w:b/>
                <w:sz w:val="22"/>
              </w:rPr>
              <w:t>Уровень</w:t>
            </w:r>
          </w:p>
        </w:tc>
        <w:tc>
          <w:tcPr>
            <w:tcW w:type="dxa" w:w="2551"/>
          </w:tcPr>
          <w:p>
            <w:r>
              <w:rPr>
                <w:rFonts w:ascii="Times New Roman" w:hAnsi="Times New Roman"/>
                <w:b/>
                <w:sz w:val="22"/>
              </w:rPr>
              <w:t>Где</w:t>
            </w:r>
          </w:p>
        </w:tc>
        <w:tc>
          <w:tcPr>
            <w:tcW w:type="dxa" w:w="3118"/>
          </w:tcPr>
          <w:p>
            <w:r>
              <w:rPr>
                <w:rFonts w:ascii="Times New Roman" w:hAnsi="Times New Roman"/>
                <w:b/>
                <w:sz w:val="22"/>
              </w:rPr>
              <w:t>Тип проверки</w:t>
            </w:r>
          </w:p>
        </w:tc>
        <w:tc>
          <w:tcPr>
            <w:tcW w:type="dxa" w:w="1984"/>
          </w:tcPr>
          <w:p>
            <w:r>
              <w:rPr>
                <w:rFonts w:ascii="Times New Roman" w:hAnsi="Times New Roman"/>
                <w:b/>
                <w:sz w:val="22"/>
              </w:rPr>
              <w:t>Реакция на ошибку</w:t>
            </w:r>
          </w:p>
        </w:tc>
      </w:tr>
      <w:tr>
        <w:tc>
          <w:tcPr>
            <w:tcW w:type="dxa" w:w="1984"/>
          </w:tcPr>
          <w:p>
            <w:r>
              <w:rPr>
                <w:rFonts w:ascii="Times New Roman" w:hAnsi="Times New Roman"/>
                <w:sz w:val="22"/>
              </w:rPr>
              <w:t>L1 — Схема</w:t>
            </w:r>
          </w:p>
        </w:tc>
        <w:tc>
          <w:tcPr>
            <w:tcW w:type="dxa" w:w="2551"/>
          </w:tcPr>
          <w:p>
            <w:r>
              <w:rPr>
                <w:rFonts w:ascii="Times New Roman" w:hAnsi="Times New Roman"/>
                <w:sz w:val="22"/>
              </w:rPr>
              <w:t>Flink ValidatorOperator</w:t>
            </w:r>
          </w:p>
        </w:tc>
        <w:tc>
          <w:tcPr>
            <w:tcW w:type="dxa" w:w="3118"/>
          </w:tcPr>
          <w:p>
            <w:r>
              <w:rPr>
                <w:rFonts w:ascii="Times New Roman" w:hAnsi="Times New Roman"/>
                <w:sz w:val="22"/>
              </w:rPr>
              <w:t>Структурные (null, тип, диапазон)</w:t>
            </w:r>
          </w:p>
        </w:tc>
        <w:tc>
          <w:tcPr>
            <w:tcW w:type="dxa" w:w="1984"/>
          </w:tcPr>
          <w:p>
            <w:r>
              <w:rPr>
                <w:rFonts w:ascii="Times New Roman" w:hAnsi="Times New Roman"/>
                <w:sz w:val="22"/>
              </w:rPr>
              <w:t>DLQ</w:t>
            </w:r>
          </w:p>
        </w:tc>
      </w:tr>
      <w:tr>
        <w:tc>
          <w:tcPr>
            <w:tcW w:type="dxa" w:w="1984"/>
          </w:tcPr>
          <w:p>
            <w:r>
              <w:rPr>
                <w:rFonts w:ascii="Times New Roman" w:hAnsi="Times New Roman"/>
                <w:sz w:val="22"/>
              </w:rPr>
              <w:t>L2 — Бизнес</w:t>
            </w:r>
          </w:p>
        </w:tc>
        <w:tc>
          <w:tcPr>
            <w:tcW w:type="dxa" w:w="2551"/>
          </w:tcPr>
          <w:p>
            <w:r>
              <w:rPr>
                <w:rFonts w:ascii="Times New Roman" w:hAnsi="Times New Roman"/>
                <w:sz w:val="22"/>
              </w:rPr>
              <w:t>Flink EnricherOperator</w:t>
            </w:r>
          </w:p>
        </w:tc>
        <w:tc>
          <w:tcPr>
            <w:tcW w:type="dxa" w:w="3118"/>
          </w:tcPr>
          <w:p>
            <w:r>
              <w:rPr>
                <w:rFonts w:ascii="Times New Roman" w:hAnsi="Times New Roman"/>
                <w:sz w:val="22"/>
              </w:rPr>
              <w:t>Справочная целостность</w:t>
            </w:r>
          </w:p>
        </w:tc>
        <w:tc>
          <w:tcPr>
            <w:tcW w:type="dxa" w:w="1984"/>
          </w:tcPr>
          <w:p>
            <w:r>
              <w:rPr>
                <w:rFonts w:ascii="Times New Roman" w:hAnsi="Times New Roman"/>
                <w:sz w:val="22"/>
              </w:rPr>
              <w:t>Предупреждение / fallback</w:t>
            </w:r>
          </w:p>
        </w:tc>
      </w:tr>
      <w:tr>
        <w:tc>
          <w:tcPr>
            <w:tcW w:type="dxa" w:w="1984"/>
          </w:tcPr>
          <w:p>
            <w:r>
              <w:rPr>
                <w:rFonts w:ascii="Times New Roman" w:hAnsi="Times New Roman"/>
                <w:sz w:val="22"/>
              </w:rPr>
              <w:t>L3 — Хранилище</w:t>
            </w:r>
          </w:p>
        </w:tc>
        <w:tc>
          <w:tcPr>
            <w:tcW w:type="dxa" w:w="2551"/>
          </w:tcPr>
          <w:p>
            <w:r>
              <w:rPr>
                <w:rFonts w:ascii="Times New Roman" w:hAnsi="Times New Roman"/>
                <w:sz w:val="22"/>
              </w:rPr>
              <w:t>Post-load DQ checks (ClickHouse SQL)</w:t>
            </w:r>
          </w:p>
        </w:tc>
        <w:tc>
          <w:tcPr>
            <w:tcW w:type="dxa" w:w="3118"/>
          </w:tcPr>
          <w:p>
            <w:r>
              <w:rPr>
                <w:rFonts w:ascii="Times New Roman" w:hAnsi="Times New Roman"/>
                <w:sz w:val="22"/>
              </w:rPr>
              <w:t>Консистентность и полнота</w:t>
            </w:r>
          </w:p>
        </w:tc>
        <w:tc>
          <w:tcPr>
            <w:tcW w:type="dxa" w:w="1984"/>
          </w:tcPr>
          <w:p>
            <w:r>
              <w:rPr>
                <w:rFonts w:ascii="Times New Roman" w:hAnsi="Times New Roman"/>
                <w:sz w:val="22"/>
              </w:rPr>
              <w:t>Алерт + отчёт</w:t>
            </w:r>
          </w:p>
        </w:tc>
      </w:tr>
    </w:tbl>
    <w:p>
      <w:pPr>
        <w:spacing w:before="0" w:after="120"/>
        <w:ind w:firstLine="709"/>
      </w:pPr>
      <w:r>
        <w:rPr>
          <w:rFonts w:ascii="Times New Roman" w:hAnsi="Times New Roman"/>
          <w:b w:val="0"/>
          <w:i w:val="0"/>
          <w:sz w:val="26"/>
        </w:rPr>
        <w:t>Пост-загрузочные проверки L3 запускаются по расписанию раз в 15 минут и включают: DQ-020 — отсутствие дублей по event_id в payment_history; DQ-021 — отсутствие разрывов в версиях платежа (версии должны идти подряд: 1, 2, 3, …); DQ-022 — отсутствие перекрытий в диапазонах effective_from / effective_to.</w:t>
      </w:r>
    </w:p>
    <w:p>
      <w:pPr>
        <w:spacing w:before="240" w:after="120"/>
      </w:pPr>
      <w:r>
        <w:rPr>
          <w:rFonts w:ascii="Times New Roman" w:hAnsi="Times New Roman"/>
          <w:b/>
          <w:sz w:val="28"/>
        </w:rPr>
        <w:t>5.2. Мониторинг (Prometheus + Grafana)</w:t>
      </w:r>
    </w:p>
    <w:p>
      <w:pPr>
        <w:spacing w:before="0" w:after="120"/>
        <w:ind w:firstLine="709"/>
      </w:pPr>
      <w:r>
        <w:rPr>
          <w:rFonts w:ascii="Times New Roman" w:hAnsi="Times New Roman"/>
          <w:b w:val="0"/>
          <w:i w:val="0"/>
          <w:sz w:val="26"/>
        </w:rPr>
        <w:t>Flink экспортирует метрики через JMX → Prometheus JMX Exporter. Grafana дашборд включает: e2e latency (p50/p95/p99), consumer lag по партициям, DLQ rate (%), checkpoint duration, Flink JVM Heap %, throughput (событий/сек). Конфигурация алертов определена в monitoring/alerts.yml: PipelineHighE2ELatency (gauge pipeline_e2e_latency_seconds &gt; 30 с &gt; 5 мин, CRITICAL), PipelineConsumerLagHigh (&gt; 10 000 сообщений &gt; 5 мин, WARNING), PipelineDLQGrowing (DLQ topic &gt; 0 &gt; 1 мин, INFO), PipelineFlinkCheckpointSlow (checkpoint duration &gt; 25 000 ms, WARNING).</w:t>
      </w:r>
    </w:p>
    <w:p>
      <w:r>
        <w:br w:type="page"/>
      </w:r>
    </w:p>
    <w:p>
      <w:pPr>
        <w:spacing w:before="240" w:after="120"/>
        <w:jc w:val="center"/>
      </w:pPr>
      <w:r>
        <w:rPr>
          <w:rFonts w:ascii="Times New Roman" w:hAnsi="Times New Roman"/>
          <w:b/>
          <w:sz w:val="32"/>
        </w:rPr>
        <w:t>ГЛАВА 6. ТЕСТИРОВАНИЕ</w:t>
      </w:r>
    </w:p>
    <w:p>
      <w:pPr>
        <w:spacing w:before="240" w:after="120"/>
      </w:pPr>
      <w:r>
        <w:rPr>
          <w:rFonts w:ascii="Times New Roman" w:hAnsi="Times New Roman"/>
          <w:b/>
          <w:sz w:val="28"/>
        </w:rPr>
        <w:t>6.1. Стратегия тестирования</w:t>
      </w:r>
    </w:p>
    <w:p>
      <w:pPr>
        <w:spacing w:before="0" w:after="120"/>
        <w:ind w:firstLine="709"/>
      </w:pPr>
      <w:r>
        <w:rPr>
          <w:rFonts w:ascii="Times New Roman" w:hAnsi="Times New Roman"/>
          <w:b w:val="0"/>
          <w:i w:val="0"/>
          <w:sz w:val="26"/>
        </w:rPr>
        <w:t>Тестирование охватывает три уровня по пирамиде тестирования: unit-тесты (~60% кейсов, быстрые), интеграционные тесты (~30%), системные / нагрузочные тесты (&lt; 10%). Тестовое окружение разворачивается командой docker compose up -d.</w:t>
      </w:r>
    </w:p>
    <w:p>
      <w:pPr>
        <w:spacing w:before="240" w:after="120"/>
      </w:pPr>
      <w:r>
        <w:rPr>
          <w:rFonts w:ascii="Times New Roman" w:hAnsi="Times New Roman"/>
          <w:b/>
          <w:sz w:val="28"/>
        </w:rPr>
        <w:t>6.2. Функциональные тест-кейсы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19"/>
        <w:gridCol w:w="3419"/>
        <w:gridCol w:w="3419"/>
      </w:tblGrid>
      <w:tr>
        <w:tc>
          <w:tcPr>
            <w:tcW w:type="dxa" w:w="1417"/>
          </w:tcPr>
          <w:p>
            <w:r>
              <w:rPr>
                <w:rFonts w:ascii="Times New Roman" w:hAnsi="Times New Roman"/>
                <w:b/>
                <w:sz w:val="22"/>
              </w:rPr>
              <w:t>Тест-кейс</w:t>
            </w:r>
          </w:p>
        </w:tc>
        <w:tc>
          <w:tcPr>
            <w:tcW w:type="dxa" w:w="5669"/>
          </w:tcPr>
          <w:p>
            <w:r>
              <w:rPr>
                <w:rFonts w:ascii="Times New Roman" w:hAnsi="Times New Roman"/>
                <w:b/>
                <w:sz w:val="22"/>
              </w:rPr>
              <w:t>Описание</w:t>
            </w:r>
          </w:p>
        </w:tc>
        <w:tc>
          <w:tcPr>
            <w:tcW w:type="dxa" w:w="850"/>
          </w:tcPr>
          <w:p>
            <w:r>
              <w:rPr>
                <w:rFonts w:ascii="Times New Roman" w:hAnsi="Times New Roman"/>
                <w:b/>
                <w:sz w:val="22"/>
              </w:rPr>
              <w:t>Статус</w:t>
            </w:r>
          </w:p>
        </w:tc>
      </w:tr>
      <w:tr>
        <w:tc>
          <w:tcPr>
            <w:tcW w:type="dxa" w:w="1417"/>
          </w:tcPr>
          <w:p>
            <w:r>
              <w:rPr>
                <w:rFonts w:ascii="Times New Roman" w:hAnsi="Times New Roman"/>
                <w:sz w:val="22"/>
              </w:rPr>
              <w:t>TC-A01</w:t>
            </w:r>
          </w:p>
        </w:tc>
        <w:tc>
          <w:tcPr>
            <w:tcW w:type="dxa" w:w="5669"/>
          </w:tcPr>
          <w:p>
            <w:r>
              <w:rPr>
                <w:rFonts w:ascii="Times New Roman" w:hAnsi="Times New Roman"/>
                <w:sz w:val="22"/>
              </w:rPr>
              <w:t>Обработка нового платежа: сквозное прохождение через pipeline</w:t>
            </w:r>
          </w:p>
        </w:tc>
        <w:tc>
          <w:tcPr>
            <w:tcW w:type="dxa" w:w="850"/>
          </w:tcPr>
          <w:p>
            <w:r>
              <w:rPr>
                <w:rFonts w:ascii="Times New Roman" w:hAnsi="Times New Roman"/>
                <w:sz w:val="22"/>
              </w:rPr>
              <w:t>✅</w:t>
            </w:r>
          </w:p>
        </w:tc>
      </w:tr>
      <w:tr>
        <w:tc>
          <w:tcPr>
            <w:tcW w:type="dxa" w:w="1417"/>
          </w:tcPr>
          <w:p>
            <w:r>
              <w:rPr>
                <w:rFonts w:ascii="Times New Roman" w:hAnsi="Times New Roman"/>
                <w:sz w:val="22"/>
              </w:rPr>
              <w:t>TC-A02</w:t>
            </w:r>
          </w:p>
        </w:tc>
        <w:tc>
          <w:tcPr>
            <w:tcW w:type="dxa" w:w="5669"/>
          </w:tcPr>
          <w:p>
            <w:r>
              <w:rPr>
                <w:rFonts w:ascii="Times New Roman" w:hAnsi="Times New Roman"/>
                <w:sz w:val="22"/>
              </w:rPr>
              <w:t>Переход статуса → SCD2 новая версия в payment_history</w:t>
            </w:r>
          </w:p>
        </w:tc>
        <w:tc>
          <w:tcPr>
            <w:tcW w:type="dxa" w:w="850"/>
          </w:tcPr>
          <w:p>
            <w:r>
              <w:rPr>
                <w:rFonts w:ascii="Times New Roman" w:hAnsi="Times New Roman"/>
                <w:sz w:val="22"/>
              </w:rPr>
              <w:t>✅</w:t>
            </w:r>
          </w:p>
        </w:tc>
      </w:tr>
      <w:tr>
        <w:tc>
          <w:tcPr>
            <w:tcW w:type="dxa" w:w="1417"/>
          </w:tcPr>
          <w:p>
            <w:r>
              <w:rPr>
                <w:rFonts w:ascii="Times New Roman" w:hAnsi="Times New Roman"/>
                <w:sz w:val="22"/>
              </w:rPr>
              <w:t>TC-A03</w:t>
            </w:r>
          </w:p>
        </w:tc>
        <w:tc>
          <w:tcPr>
            <w:tcW w:type="dxa" w:w="5669"/>
          </w:tcPr>
          <w:p>
            <w:r>
              <w:rPr>
                <w:rFonts w:ascii="Times New Roman" w:hAnsi="Times New Roman"/>
                <w:sz w:val="22"/>
              </w:rPr>
              <w:t>Дедупликация по event_id</w:t>
            </w:r>
          </w:p>
        </w:tc>
        <w:tc>
          <w:tcPr>
            <w:tcW w:type="dxa" w:w="850"/>
          </w:tcPr>
          <w:p>
            <w:r>
              <w:rPr>
                <w:rFonts w:ascii="Times New Roman" w:hAnsi="Times New Roman"/>
                <w:sz w:val="22"/>
              </w:rPr>
              <w:t>✅</w:t>
            </w:r>
          </w:p>
        </w:tc>
      </w:tr>
      <w:tr>
        <w:tc>
          <w:tcPr>
            <w:tcW w:type="dxa" w:w="1417"/>
          </w:tcPr>
          <w:p>
            <w:r>
              <w:rPr>
                <w:rFonts w:ascii="Times New Roman" w:hAnsi="Times New Roman"/>
                <w:sz w:val="22"/>
              </w:rPr>
              <w:t>TC-A04</w:t>
            </w:r>
          </w:p>
        </w:tc>
        <w:tc>
          <w:tcPr>
            <w:tcW w:type="dxa" w:w="5669"/>
          </w:tcPr>
          <w:p>
            <w:r>
              <w:rPr>
                <w:rFonts w:ascii="Times New Roman" w:hAnsi="Times New Roman"/>
                <w:sz w:val="22"/>
              </w:rPr>
              <w:t>Невалидная валюта → DLQ E003 (нет в CH) ¹</w:t>
            </w:r>
          </w:p>
        </w:tc>
        <w:tc>
          <w:tcPr>
            <w:tcW w:type="dxa" w:w="850"/>
          </w:tcPr>
          <w:p>
            <w:r>
              <w:rPr>
                <w:rFonts w:ascii="Times New Roman" w:hAnsi="Times New Roman"/>
                <w:sz w:val="22"/>
              </w:rPr>
              <w:t>✅</w:t>
            </w:r>
          </w:p>
        </w:tc>
      </w:tr>
      <w:tr>
        <w:tc>
          <w:tcPr>
            <w:tcW w:type="dxa" w:w="1417"/>
          </w:tcPr>
          <w:p>
            <w:r>
              <w:rPr>
                <w:rFonts w:ascii="Times New Roman" w:hAnsi="Times New Roman"/>
                <w:sz w:val="22"/>
              </w:rPr>
              <w:t>TC-B01</w:t>
            </w:r>
          </w:p>
        </w:tc>
        <w:tc>
          <w:tcPr>
            <w:tcW w:type="dxa" w:w="5669"/>
          </w:tcPr>
          <w:p>
            <w:r>
              <w:rPr>
                <w:rFonts w:ascii="Times New Roman" w:hAnsi="Times New Roman"/>
                <w:sz w:val="22"/>
              </w:rPr>
              <w:t>Полный жизненный цикл платежа (3 статуса: INITIATED→PROCESSING→COMPLETED)</w:t>
            </w:r>
          </w:p>
        </w:tc>
        <w:tc>
          <w:tcPr>
            <w:tcW w:type="dxa" w:w="850"/>
          </w:tcPr>
          <w:p>
            <w:r>
              <w:rPr>
                <w:rFonts w:ascii="Times New Roman" w:hAnsi="Times New Roman"/>
                <w:sz w:val="22"/>
              </w:rPr>
              <w:t>✅</w:t>
            </w:r>
          </w:p>
        </w:tc>
      </w:tr>
      <w:tr>
        <w:tc>
          <w:tcPr>
            <w:tcW w:type="dxa" w:w="1417"/>
          </w:tcPr>
          <w:p>
            <w:r>
              <w:rPr>
                <w:rFonts w:ascii="Times New Roman" w:hAnsi="Times New Roman"/>
                <w:sz w:val="22"/>
              </w:rPr>
              <w:t>TC-B02</w:t>
            </w:r>
          </w:p>
        </w:tc>
        <w:tc>
          <w:tcPr>
            <w:tcW w:type="dxa" w:w="5669"/>
          </w:tcPr>
          <w:p>
            <w:r>
              <w:rPr>
                <w:rFonts w:ascii="Times New Roman" w:hAnsi="Times New Roman"/>
                <w:sz w:val="22"/>
              </w:rPr>
              <w:t>Контентная дедупликация (хэш)</w:t>
            </w:r>
          </w:p>
        </w:tc>
        <w:tc>
          <w:tcPr>
            <w:tcW w:type="dxa" w:w="850"/>
          </w:tcPr>
          <w:p>
            <w:r>
              <w:rPr>
                <w:rFonts w:ascii="Times New Roman" w:hAnsi="Times New Roman"/>
                <w:sz w:val="22"/>
              </w:rPr>
              <w:t>✅</w:t>
            </w:r>
          </w:p>
        </w:tc>
      </w:tr>
      <w:tr>
        <w:tc>
          <w:tcPr>
            <w:tcW w:type="dxa" w:w="1417"/>
          </w:tcPr>
          <w:p>
            <w:r>
              <w:rPr>
                <w:rFonts w:ascii="Times New Roman" w:hAnsi="Times New Roman"/>
                <w:sz w:val="22"/>
              </w:rPr>
              <w:t>TC-B03</w:t>
            </w:r>
          </w:p>
        </w:tc>
        <w:tc>
          <w:tcPr>
            <w:tcW w:type="dxa" w:w="5669"/>
          </w:tcPr>
          <w:p>
            <w:r>
              <w:rPr>
                <w:rFonts w:ascii="Times New Roman" w:hAnsi="Times New Roman"/>
                <w:sz w:val="22"/>
              </w:rPr>
              <w:t>Отрицательная сумма → DLQ E001 (нет в CH) ¹</w:t>
            </w:r>
          </w:p>
        </w:tc>
        <w:tc>
          <w:tcPr>
            <w:tcW w:type="dxa" w:w="850"/>
          </w:tcPr>
          <w:p>
            <w:r>
              <w:rPr>
                <w:rFonts w:ascii="Times New Roman" w:hAnsi="Times New Roman"/>
                <w:sz w:val="22"/>
              </w:rPr>
              <w:t>✅</w:t>
            </w:r>
          </w:p>
        </w:tc>
      </w:tr>
      <w:tr>
        <w:tc>
          <w:tcPr>
            <w:tcW w:type="dxa" w:w="1417"/>
          </w:tcPr>
          <w:p>
            <w:r>
              <w:rPr>
                <w:rFonts w:ascii="Times New Roman" w:hAnsi="Times New Roman"/>
                <w:sz w:val="22"/>
              </w:rPr>
              <w:t>TC-B04</w:t>
            </w:r>
          </w:p>
        </w:tc>
        <w:tc>
          <w:tcPr>
            <w:tcW w:type="dxa" w:w="5669"/>
          </w:tcPr>
          <w:p>
            <w:r>
              <w:rPr>
                <w:rFonts w:ascii="Times New Roman" w:hAnsi="Times New Roman"/>
                <w:sz w:val="22"/>
              </w:rPr>
              <w:t>Пустой payer_id → обрабатывается нормально (payer_id опционален)</w:t>
            </w:r>
          </w:p>
        </w:tc>
        <w:tc>
          <w:tcPr>
            <w:tcW w:type="dxa" w:w="850"/>
          </w:tcPr>
          <w:p>
            <w:r>
              <w:rPr>
                <w:rFonts w:ascii="Times New Roman" w:hAnsi="Times New Roman"/>
                <w:sz w:val="22"/>
              </w:rPr>
              <w:t>✅</w:t>
            </w:r>
          </w:p>
        </w:tc>
      </w:tr>
      <w:tr>
        <w:tc>
          <w:tcPr>
            <w:tcW w:type="dxa" w:w="1417"/>
          </w:tcPr>
          <w:p>
            <w:r>
              <w:rPr>
                <w:rFonts w:ascii="Times New Roman" w:hAnsi="Times New Roman"/>
                <w:sz w:val="22"/>
              </w:rPr>
              <w:t>TC-B06</w:t>
            </w:r>
          </w:p>
        </w:tc>
        <w:tc>
          <w:tcPr>
            <w:tcW w:type="dxa" w:w="5669"/>
          </w:tcPr>
          <w:p>
            <w:r>
              <w:rPr>
                <w:rFonts w:ascii="Times New Roman" w:hAnsi="Times New Roman"/>
                <w:sz w:val="22"/>
              </w:rPr>
              <w:t>Нулевая сумма → DLQ E001 (нет в CH) ¹</w:t>
            </w:r>
          </w:p>
        </w:tc>
        <w:tc>
          <w:tcPr>
            <w:tcW w:type="dxa" w:w="850"/>
          </w:tcPr>
          <w:p>
            <w:r>
              <w:rPr>
                <w:rFonts w:ascii="Times New Roman" w:hAnsi="Times New Roman"/>
                <w:sz w:val="22"/>
              </w:rPr>
              <w:t>✅</w:t>
            </w:r>
          </w:p>
        </w:tc>
      </w:tr>
      <w:tr>
        <w:tc>
          <w:tcPr>
            <w:tcW w:type="dxa" w:w="1417"/>
          </w:tcPr>
          <w:p>
            <w:r>
              <w:rPr>
                <w:rFonts w:ascii="Times New Roman" w:hAnsi="Times New Roman"/>
                <w:sz w:val="22"/>
              </w:rPr>
              <w:t>TC-B07</w:t>
            </w:r>
          </w:p>
        </w:tc>
        <w:tc>
          <w:tcPr>
            <w:tcW w:type="dxa" w:w="5669"/>
          </w:tcPr>
          <w:p>
            <w:r>
              <w:rPr>
                <w:rFonts w:ascii="Times New Roman" w:hAnsi="Times New Roman"/>
                <w:sz w:val="22"/>
              </w:rPr>
              <w:t>Позднее событие (&gt; watermark) → payments.late [маршрутизация отключена в Beam runtime]</w:t>
            </w:r>
          </w:p>
        </w:tc>
        <w:tc>
          <w:tcPr>
            <w:tcW w:type="dxa" w:w="850"/>
          </w:tcPr>
          <w:p>
            <w:r>
              <w:rPr>
                <w:rFonts w:ascii="Times New Roman" w:hAnsi="Times New Roman"/>
                <w:sz w:val="22"/>
              </w:rPr>
              <w:t>⚠️ xfail</w:t>
            </w:r>
          </w:p>
        </w:tc>
      </w:tr>
    </w:tbl>
    <w:p>
      <w:pPr>
        <w:spacing w:before="0" w:after="120"/>
      </w:pPr>
      <w:r>
        <w:rPr>
          <w:rFonts w:ascii="Times New Roman" w:hAnsi="Times New Roman"/>
          <w:b/>
          <w:i w:val="0"/>
          <w:sz w:val="26"/>
        </w:rPr>
        <w:t>Покрытие требований: 9/10 FR подтверждены тест-кейсами; TC-B07 (late arrivals) — xfail (маршрутизация в payments.late отключена в Beam PyFlink runtime).</w:t>
      </w:r>
    </w:p>
    <w:p>
      <w:pPr>
        <w:spacing w:before="0" w:after="120"/>
      </w:pPr>
      <w:r>
        <w:rPr>
          <w:rFonts w:ascii="Times New Roman" w:hAnsi="Times New Roman"/>
          <w:b w:val="0"/>
          <w:i w:val="0"/>
          <w:sz w:val="22"/>
        </w:rPr>
        <w:t>¹ Факт попадания в DLQ проверяется по отсутствию записи в ClickHouse (payment_current, payment_history). Прямая верификация Kafka-топика payments.dlq требует Kafka-consumer helper и вынесена за рамки прототипа (тест test_in_dlq помечен xfail).</w:t>
      </w:r>
    </w:p>
    <w:p>
      <w:pPr>
        <w:spacing w:before="240" w:after="120"/>
      </w:pPr>
      <w:r>
        <w:rPr>
          <w:rFonts w:ascii="Times New Roman" w:hAnsi="Times New Roman"/>
          <w:b/>
          <w:sz w:val="28"/>
        </w:rPr>
        <w:t>6.3. Нагрузочное тестирование</w:t>
      </w:r>
    </w:p>
    <w:p>
      <w:pPr>
        <w:spacing w:before="0" w:after="120"/>
        <w:ind w:firstLine="709"/>
      </w:pPr>
      <w:r>
        <w:rPr>
          <w:rFonts w:ascii="Times New Roman" w:hAnsi="Times New Roman"/>
          <w:b w:val="0"/>
          <w:i w:val="0"/>
          <w:sz w:val="26"/>
        </w:rPr>
        <w:t>Стенд: 1 машина, 16 vCPU, 32 GB RAM, SSD NVMe, docker compose. Генератор синтетических событий (payment_generator.py) с логнормальным распределением сумм (μ=7.5, σ=1.2), суточным профилем нагрузки и реалистичным распределением источников (ACQUIRING 60%, MOBILE_APP 25%, …). Полный отчёт с метриками сохранён в results/load_report.json.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9"/>
        <w:gridCol w:w="1709"/>
        <w:gridCol w:w="1709"/>
        <w:gridCol w:w="1709"/>
        <w:gridCol w:w="1709"/>
        <w:gridCol w:w="1709"/>
      </w:tblGrid>
      <w:tr>
        <w:tc>
          <w:tcPr>
            <w:tcW w:type="dxa" w:w="2268"/>
          </w:tcPr>
          <w:p>
            <w:r>
              <w:rPr>
                <w:rFonts w:ascii="Times New Roman" w:hAnsi="Times New Roman"/>
                <w:b/>
                <w:sz w:val="22"/>
              </w:rPr>
              <w:t>Нагрузка (событий/сек)</w:t>
            </w:r>
          </w:p>
        </w:tc>
        <w:tc>
          <w:tcPr>
            <w:tcW w:type="dxa" w:w="1701"/>
          </w:tcPr>
          <w:p>
            <w:r>
              <w:rPr>
                <w:rFonts w:ascii="Times New Roman" w:hAnsi="Times New Roman"/>
                <w:b/>
                <w:sz w:val="22"/>
              </w:rPr>
              <w:t>p99 latency (с)</w:t>
            </w:r>
          </w:p>
        </w:tc>
        <w:tc>
          <w:tcPr>
            <w:tcW w:type="dxa" w:w="1984"/>
          </w:tcPr>
          <w:p>
            <w:r>
              <w:rPr>
                <w:rFonts w:ascii="Times New Roman" w:hAnsi="Times New Roman"/>
                <w:b/>
                <w:sz w:val="22"/>
              </w:rPr>
              <w:t>Consumer lag (max)</w:t>
            </w:r>
          </w:p>
        </w:tc>
        <w:tc>
          <w:tcPr>
            <w:tcW w:type="dxa" w:w="1701"/>
          </w:tcPr>
          <w:p>
            <w:r>
              <w:rPr>
                <w:rFonts w:ascii="Times New Roman" w:hAnsi="Times New Roman"/>
                <w:b/>
                <w:sz w:val="22"/>
              </w:rPr>
              <w:t>Checkpoint (с)</w:t>
            </w:r>
          </w:p>
        </w:tc>
        <w:tc>
          <w:tcPr>
            <w:tcW w:type="dxa" w:w="1701"/>
          </w:tcPr>
          <w:p>
            <w:r>
              <w:rPr>
                <w:rFonts w:ascii="Times New Roman" w:hAnsi="Times New Roman"/>
                <w:b/>
                <w:sz w:val="22"/>
              </w:rPr>
              <w:t>Heap JVM (%)</w:t>
            </w:r>
          </w:p>
        </w:tc>
        <w:tc>
          <w:tcPr>
            <w:tcW w:type="dxa" w:w="1134"/>
          </w:tcPr>
          <w:p>
            <w:r>
              <w:rPr>
                <w:rFonts w:ascii="Times New Roman" w:hAnsi="Times New Roman"/>
                <w:b/>
                <w:sz w:val="22"/>
              </w:rPr>
              <w:t>SLA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22"/>
              </w:rPr>
              <w:t>200 (baseline, 1 TM)</w:t>
            </w:r>
          </w:p>
        </w:tc>
        <w:tc>
          <w:tcPr>
            <w:tcW w:type="dxa" w:w="1701"/>
          </w:tcPr>
          <w:p>
            <w:r>
              <w:rPr>
                <w:rFonts w:ascii="Times New Roman" w:hAnsi="Times New Roman"/>
                <w:sz w:val="22"/>
              </w:rPr>
              <w:t>4.0 ¹</w:t>
            </w:r>
          </w:p>
        </w:tc>
        <w:tc>
          <w:tcPr>
            <w:tcW w:type="dxa" w:w="1984"/>
          </w:tcPr>
          <w:p>
            <w:r>
              <w:rPr>
                <w:rFonts w:ascii="Times New Roman" w:hAnsi="Times New Roman"/>
                <w:sz w:val="22"/>
              </w:rPr>
              <w:t>0</w:t>
            </w:r>
          </w:p>
        </w:tc>
        <w:tc>
          <w:tcPr>
            <w:tcW w:type="dxa" w:w="1701"/>
          </w:tcPr>
          <w:p>
            <w:r>
              <w:rPr>
                <w:rFonts w:ascii="Times New Roman" w:hAnsi="Times New Roman"/>
                <w:sz w:val="22"/>
              </w:rPr>
              <w:t>0.09</w:t>
            </w:r>
          </w:p>
        </w:tc>
        <w:tc>
          <w:tcPr>
            <w:tcW w:type="dxa" w:w="1701"/>
          </w:tcPr>
          <w:p>
            <w:r>
              <w:rPr>
                <w:rFonts w:ascii="Times New Roman" w:hAnsi="Times New Roman"/>
                <w:sz w:val="22"/>
              </w:rPr>
              <w:t>—</w:t>
            </w:r>
          </w:p>
        </w:tc>
        <w:tc>
          <w:tcPr>
            <w:tcW w:type="dxa" w:w="1134"/>
          </w:tcPr>
          <w:p>
            <w:r>
              <w:rPr>
                <w:rFonts w:ascii="Times New Roman" w:hAnsi="Times New Roman"/>
                <w:sz w:val="22"/>
              </w:rPr>
              <w:t>✅ OK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22"/>
              </w:rPr>
              <w:t>1 000 (ramp-пик, 1 TM) ²</w:t>
            </w:r>
          </w:p>
        </w:tc>
        <w:tc>
          <w:tcPr>
            <w:tcW w:type="dxa" w:w="1701"/>
          </w:tcPr>
          <w:p>
            <w:r>
              <w:rPr>
                <w:rFonts w:ascii="Times New Roman" w:hAnsi="Times New Roman"/>
                <w:sz w:val="22"/>
              </w:rPr>
              <w:t>137.0</w:t>
            </w:r>
          </w:p>
        </w:tc>
        <w:tc>
          <w:tcPr>
            <w:tcW w:type="dxa" w:w="1984"/>
          </w:tcPr>
          <w:p>
            <w:r>
              <w:rPr>
                <w:rFonts w:ascii="Times New Roman" w:hAnsi="Times New Roman"/>
                <w:sz w:val="22"/>
              </w:rPr>
              <w:t>8 303</w:t>
            </w:r>
          </w:p>
        </w:tc>
        <w:tc>
          <w:tcPr>
            <w:tcW w:type="dxa" w:w="1701"/>
          </w:tcPr>
          <w:p>
            <w:r>
              <w:rPr>
                <w:rFonts w:ascii="Times New Roman" w:hAnsi="Times New Roman"/>
                <w:sz w:val="22"/>
              </w:rPr>
              <w:t>20.3</w:t>
            </w:r>
          </w:p>
        </w:tc>
        <w:tc>
          <w:tcPr>
            <w:tcW w:type="dxa" w:w="1701"/>
          </w:tcPr>
          <w:p>
            <w:r>
              <w:rPr>
                <w:rFonts w:ascii="Times New Roman" w:hAnsi="Times New Roman"/>
                <w:sz w:val="22"/>
              </w:rPr>
              <w:t>—</w:t>
            </w:r>
          </w:p>
        </w:tc>
        <w:tc>
          <w:tcPr>
            <w:tcW w:type="dxa" w:w="1134"/>
          </w:tcPr>
          <w:p>
            <w:r>
              <w:rPr>
                <w:rFonts w:ascii="Times New Roman" w:hAnsi="Times New Roman"/>
                <w:sz w:val="22"/>
              </w:rPr>
              <w:t>❌ SLA нарушен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22"/>
              </w:rPr>
              <w:t>489 (TC-C05, 1 TM, async) ³</w:t>
            </w:r>
          </w:p>
        </w:tc>
        <w:tc>
          <w:tcPr>
            <w:tcW w:type="dxa" w:w="1701"/>
          </w:tcPr>
          <w:p>
            <w:r>
              <w:rPr>
                <w:rFonts w:ascii="Times New Roman" w:hAnsi="Times New Roman"/>
                <w:sz w:val="22"/>
              </w:rPr>
              <w:t>69.94</w:t>
            </w:r>
          </w:p>
        </w:tc>
        <w:tc>
          <w:tcPr>
            <w:tcW w:type="dxa" w:w="1984"/>
          </w:tcPr>
          <w:p>
            <w:r>
              <w:rPr>
                <w:rFonts w:ascii="Times New Roman" w:hAnsi="Times New Roman"/>
                <w:sz w:val="22"/>
              </w:rPr>
              <w:t>3307</w:t>
            </w:r>
          </w:p>
        </w:tc>
        <w:tc>
          <w:tcPr>
            <w:tcW w:type="dxa" w:w="1701"/>
          </w:tcPr>
          <w:p>
            <w:r>
              <w:rPr>
                <w:rFonts w:ascii="Times New Roman" w:hAnsi="Times New Roman"/>
                <w:sz w:val="22"/>
              </w:rPr>
              <w:t>14.0</w:t>
            </w:r>
          </w:p>
        </w:tc>
        <w:tc>
          <w:tcPr>
            <w:tcW w:type="dxa" w:w="1701"/>
          </w:tcPr>
          <w:p>
            <w:r>
              <w:rPr>
                <w:rFonts w:ascii="Times New Roman" w:hAnsi="Times New Roman"/>
                <w:sz w:val="22"/>
              </w:rPr>
              <w:t>—</w:t>
            </w:r>
          </w:p>
        </w:tc>
        <w:tc>
          <w:tcPr>
            <w:tcW w:type="dxa" w:w="1134"/>
          </w:tcPr>
          <w:p>
            <w:r>
              <w:rPr>
                <w:rFonts w:ascii="Times New Roman" w:hAnsi="Times New Roman"/>
                <w:sz w:val="22"/>
              </w:rPr>
              <w:t>❌ SLA нарушен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22"/>
              </w:rPr>
              <w:t>488 (TC-C06, 2 TM, async) ³</w:t>
            </w:r>
          </w:p>
        </w:tc>
        <w:tc>
          <w:tcPr>
            <w:tcW w:type="dxa" w:w="1701"/>
          </w:tcPr>
          <w:p>
            <w:r>
              <w:rPr>
                <w:rFonts w:ascii="Times New Roman" w:hAnsi="Times New Roman"/>
                <w:sz w:val="22"/>
              </w:rPr>
              <w:t>14.0</w:t>
            </w:r>
          </w:p>
        </w:tc>
        <w:tc>
          <w:tcPr>
            <w:tcW w:type="dxa" w:w="1984"/>
          </w:tcPr>
          <w:p>
            <w:r>
              <w:rPr>
                <w:rFonts w:ascii="Times New Roman" w:hAnsi="Times New Roman"/>
                <w:sz w:val="22"/>
              </w:rPr>
              <w:t>128</w:t>
            </w:r>
          </w:p>
        </w:tc>
        <w:tc>
          <w:tcPr>
            <w:tcW w:type="dxa" w:w="1701"/>
          </w:tcPr>
          <w:p>
            <w:r>
              <w:rPr>
                <w:rFonts w:ascii="Times New Roman" w:hAnsi="Times New Roman"/>
                <w:sz w:val="22"/>
              </w:rPr>
              <w:t>14.7</w:t>
            </w:r>
          </w:p>
        </w:tc>
        <w:tc>
          <w:tcPr>
            <w:tcW w:type="dxa" w:w="1701"/>
          </w:tcPr>
          <w:p>
            <w:r>
              <w:rPr>
                <w:rFonts w:ascii="Times New Roman" w:hAnsi="Times New Roman"/>
                <w:sz w:val="22"/>
              </w:rPr>
              <w:t>—</w:t>
            </w:r>
          </w:p>
        </w:tc>
        <w:tc>
          <w:tcPr>
            <w:tcW w:type="dxa" w:w="1134"/>
          </w:tcPr>
          <w:p>
            <w:r>
              <w:rPr>
                <w:rFonts w:ascii="Times New Roman" w:hAnsi="Times New Roman"/>
                <w:sz w:val="22"/>
              </w:rPr>
              <w:t>✅ OK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22"/>
              </w:rPr>
              <w:t>866 (TC-C07, 2 TM, async) ³</w:t>
            </w:r>
          </w:p>
        </w:tc>
        <w:tc>
          <w:tcPr>
            <w:tcW w:type="dxa" w:w="1701"/>
          </w:tcPr>
          <w:p>
            <w:r>
              <w:rPr>
                <w:rFonts w:ascii="Times New Roman" w:hAnsi="Times New Roman"/>
                <w:sz w:val="22"/>
              </w:rPr>
              <w:t>293.44</w:t>
            </w:r>
          </w:p>
        </w:tc>
        <w:tc>
          <w:tcPr>
            <w:tcW w:type="dxa" w:w="1984"/>
          </w:tcPr>
          <w:p>
            <w:r>
              <w:rPr>
                <w:rFonts w:ascii="Times New Roman" w:hAnsi="Times New Roman"/>
                <w:sz w:val="22"/>
              </w:rPr>
              <w:t>20639</w:t>
            </w:r>
          </w:p>
        </w:tc>
        <w:tc>
          <w:tcPr>
            <w:tcW w:type="dxa" w:w="1701"/>
          </w:tcPr>
          <w:p>
            <w:r>
              <w:rPr>
                <w:rFonts w:ascii="Times New Roman" w:hAnsi="Times New Roman"/>
                <w:sz w:val="22"/>
              </w:rPr>
              <w:t>55.3</w:t>
            </w:r>
          </w:p>
        </w:tc>
        <w:tc>
          <w:tcPr>
            <w:tcW w:type="dxa" w:w="1701"/>
          </w:tcPr>
          <w:p>
            <w:r>
              <w:rPr>
                <w:rFonts w:ascii="Times New Roman" w:hAnsi="Times New Roman"/>
                <w:sz w:val="22"/>
              </w:rPr>
              <w:t>—</w:t>
            </w:r>
          </w:p>
        </w:tc>
        <w:tc>
          <w:tcPr>
            <w:tcW w:type="dxa" w:w="1134"/>
          </w:tcPr>
          <w:p>
            <w:r>
              <w:rPr>
                <w:rFonts w:ascii="Times New Roman" w:hAnsi="Times New Roman"/>
                <w:sz w:val="22"/>
              </w:rPr>
              <w:t>❌ ClickHouse cap</w:t>
            </w:r>
          </w:p>
        </w:tc>
      </w:tr>
    </w:tbl>
    <w:p>
      <w:pPr>
        <w:spacing w:before="0" w:after="120"/>
        <w:ind w:firstLine="709"/>
      </w:pPr>
      <w:r>
        <w:rPr>
          <w:rFonts w:ascii="Times New Roman" w:hAnsi="Times New Roman"/>
          <w:b w:val="0"/>
          <w:i w:val="0"/>
          <w:sz w:val="24"/>
        </w:rPr>
        <w:t>¹ gauge-приближение из Flink (p50 = 4.0 с, p99 = 4.0 с): метрика отражает время от event_ts источника до момента обработки в ScdMergerOperator; истинный e2e-p99 (including ClickHouse sink) требует histogram или post-hoc ClickHouse quantile. ² ramp-тест 200→600→1000 RPS: pipeline насыщается при ~480–500 событий/сек (1 TaskManager, 4 слота); эффективная ёмкость стенда ≈ 480 событий/сек; события не теряются — буферизованы в Kafka. ³ Async-фикс: из invoke() удалён синхронный _maybe_flush() — горячий путь только добавляет событие в буфер, HTTP INSERT выполняет фоновый поток (poll каждые 1 с, batch ≤ 500 событий). TC-C05 (1 TM, 500 ев/с): p99 = 70 с — 500 &gt; ёмкость 1 TM (~480 ев/с), SLA нарушен. TC-C06 (2 TM, 500 ев/с): p99 = 14.0 с — горизонтальное масштабирование верифицировано, SLA выполнен. TC-C07 (2 TM, 900 ев/с): p99 = 293 с — потолок INSERT-пропускной способности одноузлового ClickHouse (~520 ев/с); Flink-слоты не перегружены.</w:t>
      </w:r>
    </w:p>
    <w:p>
      <w:pPr>
        <w:spacing w:before="0" w:after="120"/>
      </w:pPr>
      <w:r>
        <w:rPr>
          <w:rFonts w:ascii="Times New Roman" w:hAnsi="Times New Roman"/>
          <w:b/>
          <w:i w:val="0"/>
          <w:sz w:val="26"/>
        </w:rPr>
        <w:t>Тест восстановления (TC-C03):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64"/>
        <w:gridCol w:w="2564"/>
        <w:gridCol w:w="2564"/>
        <w:gridCol w:w="2564"/>
      </w:tblGrid>
      <w:tr>
        <w:tc>
          <w:tcPr>
            <w:tcW w:type="dxa" w:w="3118"/>
          </w:tcPr>
          <w:p>
            <w:r>
              <w:rPr>
                <w:rFonts w:ascii="Times New Roman" w:hAnsi="Times New Roman"/>
                <w:b/>
                <w:sz w:val="22"/>
              </w:rPr>
              <w:t>Параметр</w:t>
            </w:r>
          </w:p>
        </w:tc>
        <w:tc>
          <w:tcPr>
            <w:tcW w:type="dxa" w:w="2551"/>
          </w:tcPr>
          <w:p>
            <w:r>
              <w:rPr>
                <w:rFonts w:ascii="Times New Roman" w:hAnsi="Times New Roman"/>
                <w:b/>
                <w:sz w:val="22"/>
              </w:rPr>
              <w:t>Измеренное значение</w:t>
            </w:r>
          </w:p>
        </w:tc>
        <w:tc>
          <w:tcPr>
            <w:tcW w:type="dxa" w:w="1701"/>
          </w:tcPr>
          <w:p>
            <w:r>
              <w:rPr>
                <w:rFonts w:ascii="Times New Roman" w:hAnsi="Times New Roman"/>
                <w:b/>
                <w:sz w:val="22"/>
              </w:rPr>
              <w:t>SLA</w:t>
            </w:r>
          </w:p>
        </w:tc>
        <w:tc>
          <w:tcPr>
            <w:tcW w:type="dxa" w:w="1701"/>
          </w:tcPr>
          <w:p>
            <w:r>
              <w:rPr>
                <w:rFonts w:ascii="Times New Roman" w:hAnsi="Times New Roman"/>
                <w:b/>
                <w:sz w:val="22"/>
              </w:rPr>
              <w:t>Результат</w:t>
            </w:r>
          </w:p>
        </w:tc>
      </w:tr>
      <w:tr>
        <w:tc>
          <w:tcPr>
            <w:tcW w:type="dxa" w:w="3118"/>
          </w:tcPr>
          <w:p>
            <w:r>
              <w:rPr>
                <w:rFonts w:ascii="Times New Roman" w:hAnsi="Times New Roman"/>
                <w:sz w:val="22"/>
              </w:rPr>
              <w:t>RTO (время восстановления)</w:t>
            </w:r>
          </w:p>
        </w:tc>
        <w:tc>
          <w:tcPr>
            <w:tcW w:type="dxa" w:w="2551"/>
          </w:tcPr>
          <w:p>
            <w:r>
              <w:rPr>
                <w:rFonts w:ascii="Times New Roman" w:hAnsi="Times New Roman"/>
                <w:sz w:val="22"/>
              </w:rPr>
              <w:t>2 мин 37 с</w:t>
            </w:r>
          </w:p>
        </w:tc>
        <w:tc>
          <w:tcPr>
            <w:tcW w:type="dxa" w:w="1701"/>
          </w:tcPr>
          <w:p>
            <w:r>
              <w:rPr>
                <w:rFonts w:ascii="Times New Roman" w:hAnsi="Times New Roman"/>
                <w:sz w:val="22"/>
              </w:rPr>
              <w:t>≤ 5 мин</w:t>
            </w:r>
          </w:p>
        </w:tc>
        <w:tc>
          <w:tcPr>
            <w:tcW w:type="dxa" w:w="1701"/>
          </w:tcPr>
          <w:p>
            <w:r>
              <w:rPr>
                <w:rFonts w:ascii="Times New Roman" w:hAnsi="Times New Roman"/>
                <w:sz w:val="22"/>
              </w:rPr>
              <w:t>✅</w:t>
            </w:r>
          </w:p>
        </w:tc>
      </w:tr>
      <w:tr>
        <w:tc>
          <w:tcPr>
            <w:tcW w:type="dxa" w:w="3118"/>
          </w:tcPr>
          <w:p>
            <w:r>
              <w:rPr>
                <w:rFonts w:ascii="Times New Roman" w:hAnsi="Times New Roman"/>
                <w:sz w:val="22"/>
              </w:rPr>
              <w:t>RPO (потеря данных)</w:t>
            </w:r>
          </w:p>
        </w:tc>
        <w:tc>
          <w:tcPr>
            <w:tcW w:type="dxa" w:w="2551"/>
          </w:tcPr>
          <w:p>
            <w:r>
              <w:rPr>
                <w:rFonts w:ascii="Times New Roman" w:hAnsi="Times New Roman"/>
                <w:sz w:val="22"/>
              </w:rPr>
              <w:t>0 событий</w:t>
            </w:r>
          </w:p>
        </w:tc>
        <w:tc>
          <w:tcPr>
            <w:tcW w:type="dxa" w:w="1701"/>
          </w:tcPr>
          <w:p>
            <w:r>
              <w:rPr>
                <w:rFonts w:ascii="Times New Roman" w:hAnsi="Times New Roman"/>
                <w:sz w:val="22"/>
              </w:rPr>
              <w:t>0</w:t>
            </w:r>
          </w:p>
        </w:tc>
        <w:tc>
          <w:tcPr>
            <w:tcW w:type="dxa" w:w="1701"/>
          </w:tcPr>
          <w:p>
            <w:r>
              <w:rPr>
                <w:rFonts w:ascii="Times New Roman" w:hAnsi="Times New Roman"/>
                <w:sz w:val="22"/>
              </w:rPr>
              <w:t>✅</w:t>
            </w:r>
          </w:p>
        </w:tc>
      </w:tr>
    </w:tbl>
    <w:p>
      <w:pPr>
        <w:spacing w:before="240" w:after="120"/>
      </w:pPr>
      <w:r>
        <w:rPr>
          <w:rFonts w:ascii="Times New Roman" w:hAnsi="Times New Roman"/>
          <w:b/>
          <w:sz w:val="28"/>
        </w:rPr>
        <w:t>6.4. Достоверность результатов и ограничения эксперимента</w:t>
      </w:r>
    </w:p>
    <w:p>
      <w:pPr>
        <w:spacing w:before="0" w:after="120"/>
        <w:ind w:firstLine="709"/>
      </w:pPr>
      <w:r>
        <w:rPr>
          <w:rFonts w:ascii="Times New Roman" w:hAnsi="Times New Roman"/>
          <w:b w:val="0"/>
          <w:i w:val="0"/>
          <w:sz w:val="26"/>
        </w:rPr>
        <w:t>Нагрузочные измерения выполнялись по воспроизводимому протоколу. Перед каждым прогоном поднималось одно и то же docker compose окружение, очищались тестовые таблицы ClickHouse и Kafka-топики, после чего генератор отправлял поток событий с заданной интенсивностью. Для baseline-сценария использовалась длительность 300 секунд и 59_530 событий; для ramp-сценария (200→600→1000 RPS) — 3 шага по 120 с (~207652 событий). Такая длительность достаточна, чтобы Prometheus успел накопить несколько окон scrape и чтобы в измерения попали checkpoint, батчевая запись и обычный consumer lag.</w:t>
      </w:r>
    </w:p>
    <w:p>
      <w:pPr>
        <w:spacing w:before="0" w:after="120"/>
        <w:ind w:firstLine="709"/>
      </w:pPr>
      <w:r>
        <w:rPr>
          <w:rFonts w:ascii="Times New Roman" w:hAnsi="Times New Roman"/>
          <w:b w:val="0"/>
          <w:i w:val="0"/>
          <w:sz w:val="26"/>
        </w:rPr>
        <w:t>Метрика e2e latency является gauge-derived approximation: фиксирует время от event_ts источника до момента обработки в ScdMergerOperator (до записи в ClickHouse sink). Истинный end-to-end p99 (включая ClickHouse sink latency) требует перехода с gauge на histogram или post-hoc ClickHouse quantile-запроса. Именно p99 выбран в SLA: для платёжной аналитики важна не только типичная задержка, но и поведение системы на редких, но регулярных пиках нагрузки.</w:t>
      </w:r>
    </w:p>
    <w:p>
      <w:pPr>
        <w:spacing w:before="0" w:after="120"/>
      </w:pPr>
      <w:r>
        <w:rPr>
          <w:rFonts w:ascii="Times New Roman" w:hAnsi="Times New Roman"/>
          <w:b/>
          <w:i w:val="0"/>
          <w:sz w:val="24"/>
        </w:rPr>
        <w:t>Таблица 3 – Объёмные характеристики проекта и эксперимента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19"/>
        <w:gridCol w:w="3419"/>
        <w:gridCol w:w="3419"/>
      </w:tblGrid>
      <w:tr>
        <w:tc>
          <w:tcPr>
            <w:tcW w:type="dxa" w:w="2835"/>
          </w:tcPr>
          <w:p>
            <w:r>
              <w:rPr>
                <w:rFonts w:ascii="Times New Roman" w:hAnsi="Times New Roman"/>
                <w:b/>
                <w:sz w:val="22"/>
              </w:rPr>
              <w:t>Показатель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b/>
                <w:sz w:val="22"/>
              </w:rPr>
              <w:t>Значение</w:t>
            </w:r>
          </w:p>
        </w:tc>
        <w:tc>
          <w:tcPr>
            <w:tcW w:type="dxa" w:w="4535"/>
          </w:tcPr>
          <w:p>
            <w:r>
              <w:rPr>
                <w:rFonts w:ascii="Times New Roman" w:hAnsi="Times New Roman"/>
                <w:b/>
                <w:sz w:val="22"/>
              </w:rPr>
              <w:t>Комментарий</w:t>
            </w:r>
          </w:p>
        </w:tc>
      </w:tr>
      <w:tr>
        <w:tc>
          <w:tcPr>
            <w:tcW w:type="dxa" w:w="2835"/>
          </w:tcPr>
          <w:p>
            <w:r>
              <w:rPr>
                <w:rFonts w:ascii="Times New Roman" w:hAnsi="Times New Roman"/>
                <w:sz w:val="22"/>
              </w:rPr>
              <w:t>Размер baseline-прогона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2"/>
              </w:rPr>
              <w:t>59 530 событий</w:t>
            </w:r>
          </w:p>
        </w:tc>
        <w:tc>
          <w:tcPr>
            <w:tcW w:type="dxa" w:w="4535"/>
          </w:tcPr>
          <w:p>
            <w:r>
              <w:rPr>
                <w:rFonts w:ascii="Times New Roman" w:hAnsi="Times New Roman"/>
                <w:sz w:val="22"/>
              </w:rPr>
              <w:t>200 событий/сек × 300 секунд</w:t>
            </w:r>
          </w:p>
        </w:tc>
      </w:tr>
      <w:tr>
        <w:tc>
          <w:tcPr>
            <w:tcW w:type="dxa" w:w="2835"/>
          </w:tcPr>
          <w:p>
            <w:r>
              <w:rPr>
                <w:rFonts w:ascii="Times New Roman" w:hAnsi="Times New Roman"/>
                <w:sz w:val="22"/>
              </w:rPr>
              <w:t>Размер 5× прогона (ramp)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2"/>
              </w:rPr>
              <w:t>207 652 событий</w:t>
            </w:r>
          </w:p>
        </w:tc>
        <w:tc>
          <w:tcPr>
            <w:tcW w:type="dxa" w:w="4535"/>
          </w:tcPr>
          <w:p>
            <w:r>
              <w:rPr>
                <w:rFonts w:ascii="Times New Roman" w:hAnsi="Times New Roman"/>
                <w:sz w:val="22"/>
              </w:rPr>
              <w:t>ramp 200→600→1000 RPS, пик шаг ~961 ev/s, SLA нарушен</w:t>
            </w:r>
          </w:p>
        </w:tc>
      </w:tr>
      <w:tr>
        <w:tc>
          <w:tcPr>
            <w:tcW w:type="dxa" w:w="2835"/>
          </w:tcPr>
          <w:p>
            <w:r>
              <w:rPr>
                <w:rFonts w:ascii="Times New Roman" w:hAnsi="Times New Roman"/>
                <w:sz w:val="22"/>
              </w:rPr>
              <w:t>Число Kafka-топиков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2"/>
              </w:rPr>
              <w:t>4</w:t>
            </w:r>
          </w:p>
        </w:tc>
        <w:tc>
          <w:tcPr>
            <w:tcW w:type="dxa" w:w="4535"/>
          </w:tcPr>
          <w:p>
            <w:r>
              <w:rPr>
                <w:rFonts w:ascii="Times New Roman" w:hAnsi="Times New Roman"/>
                <w:sz w:val="22"/>
              </w:rPr>
              <w:t>raw, processed, dlq, late</w:t>
            </w:r>
          </w:p>
        </w:tc>
      </w:tr>
      <w:tr>
        <w:tc>
          <w:tcPr>
            <w:tcW w:type="dxa" w:w="2835"/>
          </w:tcPr>
          <w:p>
            <w:r>
              <w:rPr>
                <w:rFonts w:ascii="Times New Roman" w:hAnsi="Times New Roman"/>
                <w:sz w:val="22"/>
              </w:rPr>
              <w:t>Основные таблицы ClickHouse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2"/>
              </w:rPr>
              <w:t>4</w:t>
            </w:r>
          </w:p>
        </w:tc>
        <w:tc>
          <w:tcPr>
            <w:tcW w:type="dxa" w:w="4535"/>
          </w:tcPr>
          <w:p>
            <w:r>
              <w:rPr>
                <w:rFonts w:ascii="Times New Roman" w:hAnsi="Times New Roman"/>
                <w:sz w:val="22"/>
              </w:rPr>
              <w:t>history, current, exchange_rates, merchant_dict</w:t>
            </w:r>
          </w:p>
        </w:tc>
      </w:tr>
      <w:tr>
        <w:tc>
          <w:tcPr>
            <w:tcW w:type="dxa" w:w="2835"/>
          </w:tcPr>
          <w:p>
            <w:r>
              <w:rPr>
                <w:rFonts w:ascii="Times New Roman" w:hAnsi="Times New Roman"/>
                <w:sz w:val="22"/>
              </w:rPr>
              <w:t>Кодовая база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2"/>
              </w:rPr>
              <w:t>pipeline, generator, tests, infra, monitoring</w:t>
            </w:r>
          </w:p>
        </w:tc>
        <w:tc>
          <w:tcPr>
            <w:tcW w:type="dxa" w:w="4535"/>
          </w:tcPr>
          <w:p>
            <w:r>
              <w:rPr>
                <w:rFonts w:ascii="Times New Roman" w:hAnsi="Times New Roman"/>
                <w:sz w:val="22"/>
              </w:rPr>
              <w:t>исходный код и инфраструктура</w:t>
            </w:r>
          </w:p>
        </w:tc>
      </w:tr>
      <w:tr>
        <w:tc>
          <w:tcPr>
            <w:tcW w:type="dxa" w:w="2835"/>
          </w:tcPr>
          <w:p>
            <w:r>
              <w:rPr>
                <w:rFonts w:ascii="Times New Roman" w:hAnsi="Times New Roman"/>
                <w:sz w:val="22"/>
              </w:rPr>
              <w:t>Наблюдаемые метрики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2"/>
              </w:rPr>
              <w:t>latency, lag, checkpoint, heap, DLQ</w:t>
            </w:r>
          </w:p>
        </w:tc>
        <w:tc>
          <w:tcPr>
            <w:tcW w:type="dxa" w:w="4535"/>
          </w:tcPr>
          <w:p>
            <w:r>
              <w:rPr>
                <w:rFonts w:ascii="Times New Roman" w:hAnsi="Times New Roman"/>
                <w:sz w:val="22"/>
              </w:rPr>
              <w:t>Prometheus/Grafana</w:t>
            </w:r>
          </w:p>
        </w:tc>
      </w:tr>
    </w:tbl>
    <w:p>
      <w:pPr>
        <w:spacing w:before="0" w:after="120"/>
        <w:ind w:firstLine="709"/>
      </w:pPr>
      <w:r>
        <w:rPr>
          <w:rFonts w:ascii="Times New Roman" w:hAnsi="Times New Roman"/>
          <w:b w:val="0"/>
          <w:i w:val="0"/>
          <w:sz w:val="26"/>
        </w:rPr>
        <w:t>Основное ограничение эксперимента состоит в том, что он выполнен на одной машине, а не в распределённом production-кластере. Поэтому абсолютные значения latency и throughput нельзя напрямую переносить на промышленную инфраструктуру. Однако эксперимент подтверждает относительные свойства архитектуры: наличие backpressure при 10× нагрузке, отсутствие потери событий за счёт Kafka-буферизации, сохранение SLA при baseline (200 ev/s, эффективная ёмкость стенда ~480 ev/s), нарушение SLA при 1 000 ev/s с 1 TaskManager, а также восстановление после отказа в пределах RTO. Горизонтальное масштабирование Flink верифицировано: 2 TM (parallelism=8) обрабатывают 500 ев/с с p99 = 14.0 с (TC-C06, SLA ✅). Потолок одноузлового ClickHouse — ~520 ев/с INSERT-записи (TC-C07); см. §9.3.8.</w:t>
      </w:r>
    </w:p>
    <w:p>
      <w:pPr>
        <w:spacing w:before="0" w:after="120"/>
        <w:ind w:firstLine="709"/>
      </w:pPr>
      <w:r>
        <w:rPr>
          <w:rFonts w:ascii="Times New Roman" w:hAnsi="Times New Roman"/>
          <w:b w:val="0"/>
          <w:i w:val="0"/>
          <w:sz w:val="26"/>
        </w:rPr>
        <w:t>Второе ограничение связано с синтетическими данными. Генератор воспроизводит типовые распределения сумм, статусов и источников, но не моделирует все реальные аномалии платёжного домена: массовые возвраты, сложные chargeback-сценарии, изменения валютных курсов внутри короткого окна, а также юридические ограничения по хранению PII. Эти аспекты вынесены в дальнейшее развитие и не снижают основной результат работы, поскольку предметом ВКР является архитектура NRT-доставки и историзации, а не промышленная платёжная платформа целиком.</w:t>
      </w:r>
    </w:p>
    <w:p>
      <w:pPr>
        <w:spacing w:before="0" w:after="120"/>
        <w:ind w:firstLine="709"/>
      </w:pPr>
      <w:r>
        <w:rPr>
          <w:rFonts w:ascii="Times New Roman" w:hAnsi="Times New Roman"/>
          <w:b w:val="0"/>
          <w:i w:val="0"/>
          <w:sz w:val="26"/>
        </w:rPr>
        <w:t>Для повышения достоверности результатов в дальнейшей работе следует выполнить повторные прогоны на нескольких конфигурациях parallelism, отдельно измерить вклад каждого этапа pipeline в задержку, добавить chaos-тесты для Kafka и ClickHouse, а также проверить replay за полный retention-период. Эти проверки не меняют выбранную архитектуру, но позволят точнее подобрать параметры промышленной эксплуатации: число партиций Kafka, размер батча ClickHouse, интервал checkpoint и объём Flink state.</w:t>
      </w:r>
    </w:p>
    <w:p>
      <w:r>
        <w:br w:type="page"/>
      </w:r>
    </w:p>
    <w:p>
      <w:pPr>
        <w:spacing w:before="240" w:after="120"/>
        <w:jc w:val="center"/>
      </w:pPr>
      <w:r>
        <w:rPr>
          <w:rFonts w:ascii="Times New Roman" w:hAnsi="Times New Roman"/>
          <w:b/>
          <w:sz w:val="32"/>
        </w:rPr>
        <w:t>ЗАКЛЮЧЕНИЕ</w:t>
      </w:r>
    </w:p>
    <w:p>
      <w:pPr>
        <w:spacing w:before="0" w:after="120"/>
        <w:ind w:firstLine="709"/>
      </w:pPr>
      <w:r>
        <w:rPr>
          <w:rFonts w:ascii="Times New Roman" w:hAnsi="Times New Roman"/>
          <w:b w:val="0"/>
          <w:i w:val="0"/>
          <w:sz w:val="26"/>
        </w:rPr>
        <w:t>В рамках данной работы разработан и протестирован NRT-конвейер передачи платёжных данных с сохранением полной истории изменений. Сформулируем основные результаты.</w:t>
      </w:r>
    </w:p>
    <w:p>
      <w:pPr>
        <w:spacing w:before="0" w:after="120"/>
        <w:ind w:firstLine="709"/>
      </w:pPr>
      <w:r>
        <w:rPr>
          <w:rFonts w:ascii="Times New Roman" w:hAnsi="Times New Roman"/>
          <w:b w:val="0"/>
          <w:i w:val="0"/>
          <w:sz w:val="26"/>
        </w:rPr>
        <w:t>1. Спроектирована и реализована система на базе Kappa-архитектуры: Apache Kafka (брокер), Apache Flink 1.19 (потоковая обработка, stateful SCD2), ClickHouse 24.x (аналитическое хранилище). Выбор обоснован сравнительным анализом альтернатив (Lambda vs Kappa, Spark SS vs Flink, PostgreSQL vs ClickHouse).</w:t>
      </w:r>
    </w:p>
    <w:p>
      <w:pPr>
        <w:spacing w:before="0" w:after="120"/>
        <w:ind w:firstLine="709"/>
      </w:pPr>
      <w:r>
        <w:rPr>
          <w:rFonts w:ascii="Times New Roman" w:hAnsi="Times New Roman"/>
          <w:b w:val="0"/>
          <w:i w:val="0"/>
          <w:sz w:val="26"/>
        </w:rPr>
        <w:t>2. Реализована трёхуровневая стратегия дедупликации (Kafka idempotent + Flink MapState + ClickHouse ReplacingMergeTree), обеспечивающая effectively-exactly-once семантику без поддержки точного exactly-once в каждом компоненте.</w:t>
      </w:r>
    </w:p>
    <w:p>
      <w:pPr>
        <w:spacing w:before="0" w:after="120"/>
        <w:ind w:firstLine="709"/>
      </w:pPr>
      <w:r>
        <w:rPr>
          <w:rFonts w:ascii="Times New Roman" w:hAnsi="Times New Roman"/>
          <w:b w:val="0"/>
          <w:i w:val="0"/>
          <w:sz w:val="26"/>
        </w:rPr>
        <w:t>3. Реализован гибридный паттерн хранения истории SCD Type 2 + append-only event log в ClickHouse. Поддерживаются point-in-time запросы для аудита и полного восстановления состояния любого платежа.</w:t>
      </w:r>
    </w:p>
    <w:p>
      <w:pPr>
        <w:spacing w:before="0" w:after="120"/>
        <w:ind w:firstLine="709"/>
      </w:pPr>
      <w:r>
        <w:rPr>
          <w:rFonts w:ascii="Times New Roman" w:hAnsi="Times New Roman"/>
          <w:b w:val="0"/>
          <w:i w:val="0"/>
          <w:sz w:val="26"/>
        </w:rPr>
        <w:t>4. Разработаны трёхуровневые DQ-проверки (L1-структурные в реальном времени, L2-бизнес в реальном времени, L3-пост-загрузочные SQL-запросы в ClickHouse) и система мониторинга на базе Prometheus + Grafana с алертами.</w:t>
      </w:r>
    </w:p>
    <w:p>
      <w:pPr>
        <w:spacing w:before="0" w:after="120"/>
        <w:ind w:firstLine="709"/>
      </w:pPr>
      <w:r>
        <w:rPr>
          <w:rFonts w:ascii="Times New Roman" w:hAnsi="Times New Roman"/>
          <w:b w:val="0"/>
          <w:i w:val="0"/>
          <w:sz w:val="26"/>
        </w:rPr>
        <w:t>5. Проведено тестирование: 9/10 функциональных требований подтверждены тест-кейсами (TC-B07 late arrivals — xfail, маршрутизация отключена в Beam runtime). При baseline-нагрузке 200 событий/сек p99 = 4.0 с (SLA ≤ 30 с). Эффективная ёмкость 1 TM — ~480 событий/сек; при 1 000 событий/сек p99 = 136.97 с (SLA нарушен). После async-буферизации sink 2 TM (parallelism=8) обрабатывают 500 ев/с с p99 = 14.0 с (TC-C06, SLA ✅); потолок одноузлового ClickHouse ~520 ев/с (TC-C07). RTO = 2 мин 37 с, RPO = 0.</w:t>
      </w:r>
    </w:p>
    <w:p>
      <w:pPr>
        <w:spacing w:before="0" w:after="120"/>
        <w:ind w:firstLine="709"/>
      </w:pPr>
      <w:r>
        <w:rPr>
          <w:rFonts w:ascii="Times New Roman" w:hAnsi="Times New Roman"/>
          <w:b w:val="0"/>
          <w:i w:val="0"/>
          <w:sz w:val="26"/>
        </w:rPr>
        <w:t>Ограничения и направления дальнейшего развития: (1) переход на Avro-сериализацию в продуктивном окружении для снижения размера сообщений на ~85%; (2) добавление хранения raw событий в объектном хранилище (S3/MinIO) для replay за горизонт 30 дней; (3) реализация schema evolution через Confluent Schema Registry; (4) развёртывание в Kubernetes с Flink Operator для автоматического горизонтального масштабирования при превышении consumer lag.</w:t>
      </w:r>
    </w:p>
    <w:p>
      <w:r>
        <w:br w:type="page"/>
      </w:r>
    </w:p>
    <w:p>
      <w:pPr>
        <w:spacing w:before="240" w:after="120"/>
        <w:jc w:val="center"/>
      </w:pPr>
      <w:r>
        <w:rPr>
          <w:rFonts w:ascii="Times New Roman" w:hAnsi="Times New Roman"/>
          <w:b/>
          <w:sz w:val="32"/>
        </w:rPr>
        <w:t>СПИСОК ЛИТЕРАТУРЫ</w:t>
      </w:r>
    </w:p>
    <w:p>
      <w:pPr>
        <w:spacing w:after="80"/>
        <w:ind w:hanging="709" w:left="709"/>
      </w:pPr>
      <w:r>
        <w:rPr>
          <w:rFonts w:ascii="Times New Roman" w:hAnsi="Times New Roman"/>
          <w:sz w:val="24"/>
        </w:rPr>
        <w:t>[1] Carbone P., Katsifodimos A., Ewen S., Markl V., Haridi S., Tzoumas K. Apache Flink: Stream and Batch Processing in a Single Engine // IEEE Data Eng. Bull. — 2015. — Vol. 38, No. 4. — P. 28–38.</w:t>
      </w:r>
    </w:p>
    <w:p>
      <w:pPr>
        <w:spacing w:after="80"/>
        <w:ind w:hanging="709" w:left="709"/>
      </w:pPr>
      <w:r>
        <w:rPr>
          <w:rFonts w:ascii="Times New Roman" w:hAnsi="Times New Roman"/>
          <w:sz w:val="24"/>
        </w:rPr>
        <w:t>[2] Carbone P., Fóra G., Ewen S., Haridi S., Tzoumas K. Lightweight Asynchronous Snapshots for Distributed Dataflows // arXiv:1506.08603 [cs.DC]. — 2015.</w:t>
      </w:r>
    </w:p>
    <w:p>
      <w:pPr>
        <w:spacing w:after="80"/>
        <w:ind w:hanging="709" w:left="709"/>
      </w:pPr>
      <w:r>
        <w:rPr>
          <w:rFonts w:ascii="Times New Roman" w:hAnsi="Times New Roman"/>
          <w:sz w:val="24"/>
        </w:rPr>
        <w:t>[3] Akidau T., Bradshaw R., Chambers C. et al. The Dataflow Model: A Practical Approach to Balancing Correctness, Latency, and Cost // VLDB. — 2015. — Vol. 8, No. 12. — P. 1792–1803.</w:t>
      </w:r>
    </w:p>
    <w:p>
      <w:pPr>
        <w:spacing w:after="80"/>
        <w:ind w:hanging="709" w:left="709"/>
      </w:pPr>
      <w:r>
        <w:rPr>
          <w:rFonts w:ascii="Times New Roman" w:hAnsi="Times New Roman"/>
          <w:sz w:val="24"/>
        </w:rPr>
        <w:t>[4] Akidau T., Begoli E., Chernyak S. et al. Watermarks in Stream Processing Systems // VLDB 2021 / OSTI. — 2021.</w:t>
      </w:r>
    </w:p>
    <w:p>
      <w:pPr>
        <w:spacing w:after="80"/>
        <w:ind w:hanging="709" w:left="709"/>
      </w:pPr>
      <w:r>
        <w:rPr>
          <w:rFonts w:ascii="Times New Roman" w:hAnsi="Times New Roman"/>
          <w:sz w:val="24"/>
        </w:rPr>
        <w:t>[5] Armbrust M., Das T., Torres J. et al. Structured Streaming: A Declarative API for Real-Time Applications in Apache Spark // ACM SIGMOD. — 2018. — P. 601–613.</w:t>
      </w:r>
    </w:p>
    <w:p>
      <w:pPr>
        <w:spacing w:after="80"/>
        <w:ind w:hanging="709" w:left="709"/>
      </w:pPr>
      <w:r>
        <w:rPr>
          <w:rFonts w:ascii="Times New Roman" w:hAnsi="Times New Roman"/>
          <w:sz w:val="24"/>
        </w:rPr>
        <w:t>[6] Saket A., Chandela A., Kalim U. Real-time Event Joining in Practice With Kafka and Flink // arXiv:2410.15533 [cs.SE]. — 2024.</w:t>
      </w:r>
    </w:p>
    <w:p>
      <w:pPr>
        <w:spacing w:after="80"/>
        <w:ind w:hanging="709" w:left="709"/>
      </w:pPr>
      <w:r>
        <w:rPr>
          <w:rFonts w:ascii="Times New Roman" w:hAnsi="Times New Roman"/>
          <w:sz w:val="24"/>
        </w:rPr>
        <w:t>[7] Schulze M., Schreiber R., Yatsishin I. et al. ClickHouse — Lightning Fast Analytics for Everyone // VLDB 2024. — Vol. 17. — P. 3731–3744.</w:t>
      </w:r>
    </w:p>
    <w:p>
      <w:pPr>
        <w:spacing w:after="80"/>
        <w:ind w:hanging="709" w:left="709"/>
      </w:pPr>
      <w:r>
        <w:rPr>
          <w:rFonts w:ascii="Times New Roman" w:hAnsi="Times New Roman"/>
          <w:sz w:val="24"/>
        </w:rPr>
        <w:t>[8] Huang Y., Zhongming Z. Near-real-time data pipeline using change data capture approach // Theses, Metropolia AMK. — 2024.</w:t>
      </w:r>
    </w:p>
    <w:p>
      <w:pPr>
        <w:spacing w:after="80"/>
        <w:ind w:hanging="709" w:left="709"/>
      </w:pPr>
      <w:r>
        <w:rPr>
          <w:rFonts w:ascii="Times New Roman" w:hAnsi="Times New Roman"/>
          <w:sz w:val="24"/>
        </w:rPr>
        <w:t>[9] Seenivasan D., Vaithianathan V. Real-Time Adaptation: Change Data Capture in Modern Computer Architecture // ESP International Journal of Advances in Computer Technology. — 2023. — Vol. 2, No. 4. — P. 12–22.</w:t>
      </w:r>
    </w:p>
    <w:p>
      <w:pPr>
        <w:spacing w:after="80"/>
        <w:ind w:hanging="709" w:left="709"/>
      </w:pPr>
      <w:r>
        <w:rPr>
          <w:rFonts w:ascii="Times New Roman" w:hAnsi="Times New Roman"/>
          <w:sz w:val="24"/>
        </w:rPr>
        <w:t>[10] Kovalenko A. Data Replication in Distributed Financial Systems: The CDC Pattern… // Professional Bulletin: IT (Ташкент). — 2026. — No. 1.</w:t>
      </w:r>
    </w:p>
    <w:p>
      <w:pPr>
        <w:spacing w:after="80"/>
        <w:ind w:hanging="709" w:left="709"/>
      </w:pPr>
      <w:r>
        <w:rPr>
          <w:rFonts w:ascii="Times New Roman" w:hAnsi="Times New Roman"/>
          <w:sz w:val="24"/>
        </w:rPr>
        <w:t>[11] Zhang Z., Wu Y., Xu H. et al. Streaming View: An Efficient Data Processing Engine for Real-Time Data Warehouse of Alibaba Cloud // VLDB 2025. — Vol. 18.</w:t>
      </w:r>
    </w:p>
    <w:p>
      <w:pPr>
        <w:spacing w:after="80"/>
        <w:ind w:hanging="709" w:left="709"/>
      </w:pPr>
      <w:r>
        <w:rPr>
          <w:rFonts w:ascii="Times New Roman" w:hAnsi="Times New Roman"/>
          <w:sz w:val="24"/>
        </w:rPr>
        <w:t>[12] Khan M., Liang X., Mary A. et al. Ensuring Data Accuracy and Uniformity in Real-Time ETL for Streaming Systems // ResearchGate. — 2025.</w:t>
      </w:r>
    </w:p>
    <w:p>
      <w:pPr>
        <w:spacing w:after="80"/>
        <w:ind w:hanging="709" w:left="709"/>
      </w:pPr>
      <w:r>
        <w:rPr>
          <w:rFonts w:ascii="Times New Roman" w:hAnsi="Times New Roman"/>
          <w:sz w:val="24"/>
        </w:rPr>
        <w:t>[13] Sahal R., Breslin J.G., Ali M.I. Big Data and Stream Processing Platforms for Industry 4.0 // Journal of Manufacturing Systems. — 2020. — Vol. 54. — P. 173–188.</w:t>
      </w:r>
    </w:p>
    <w:p>
      <w:pPr>
        <w:spacing w:after="80"/>
        <w:ind w:hanging="709" w:left="709"/>
      </w:pPr>
      <w:r>
        <w:rPr>
          <w:rFonts w:ascii="Times New Roman" w:hAnsi="Times New Roman"/>
          <w:sz w:val="24"/>
        </w:rPr>
        <w:t>[14] Gürcan F., Berigel M. Real-time Processing of Big Data Streams // IEEE ISDFS. — 2018.</w:t>
      </w:r>
    </w:p>
    <w:p>
      <w:pPr>
        <w:spacing w:after="80"/>
        <w:ind w:hanging="709" w:left="709"/>
      </w:pPr>
      <w:r>
        <w:rPr>
          <w:rFonts w:ascii="Times New Roman" w:hAnsi="Times New Roman"/>
          <w:sz w:val="24"/>
        </w:rPr>
        <w:t>[15] Nambiar M., Mundra D. An Overview of Data Warehouse and Data Lake in Modern Enterprise Data Management // MDPI Big Data and Cognitive Computing. — 2022. — Vol. 6, No. 4.</w:t>
      </w:r>
    </w:p>
    <w:p>
      <w:r>
        <w:br w:type="page"/>
      </w:r>
    </w:p>
    <w:p>
      <w:pPr>
        <w:spacing w:before="240" w:after="120"/>
        <w:jc w:val="center"/>
      </w:pPr>
      <w:r>
        <w:rPr>
          <w:rFonts w:ascii="Times New Roman" w:hAnsi="Times New Roman"/>
          <w:b/>
          <w:sz w:val="32"/>
        </w:rPr>
        <w:t>Приложение 1</w:t>
      </w:r>
    </w:p>
    <w:p>
      <w:pPr>
        <w:spacing w:before="240" w:after="120"/>
      </w:pPr>
      <w:r>
        <w:rPr>
          <w:rFonts w:ascii="Times New Roman" w:hAnsi="Times New Roman"/>
          <w:b/>
          <w:sz w:val="28"/>
        </w:rPr>
        <w:t>Репозиторий GitHub и структура проекта</w:t>
      </w:r>
    </w:p>
    <w:p>
      <w:pPr>
        <w:spacing w:before="0" w:after="120"/>
        <w:ind w:firstLine="709"/>
      </w:pPr>
      <w:r>
        <w:rPr>
          <w:rFonts w:ascii="Times New Roman" w:hAnsi="Times New Roman"/>
          <w:b w:val="0"/>
          <w:i w:val="0"/>
          <w:sz w:val="26"/>
        </w:rPr>
        <w:t>Исходный код проекта размещён на GitHub. Использование ИИ-инструментов: при написании данной работы использовался GitHub Copilot (генерация шаблонного кода операторов, автодополнение SQL-запросов) и Claude (структурирование текста документации). Вся бизнес-логика, архитектурные решения и результаты тестирования разработаны автором самостоятельно.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2835"/>
          </w:tcPr>
          <w:p>
            <w:r>
              <w:rPr>
                <w:rFonts w:ascii="Times New Roman" w:hAnsi="Times New Roman"/>
                <w:b/>
                <w:sz w:val="22"/>
              </w:rPr>
              <w:t>Директория / файл</w:t>
            </w:r>
          </w:p>
        </w:tc>
        <w:tc>
          <w:tcPr>
            <w:tcW w:type="dxa" w:w="6803"/>
          </w:tcPr>
          <w:p>
            <w:r>
              <w:rPr>
                <w:rFonts w:ascii="Times New Roman" w:hAnsi="Times New Roman"/>
                <w:b/>
                <w:sz w:val="22"/>
              </w:rPr>
              <w:t>Описание</w:t>
            </w:r>
          </w:p>
        </w:tc>
      </w:tr>
      <w:tr>
        <w:tc>
          <w:tcPr>
            <w:tcW w:type="dxa" w:w="2835"/>
          </w:tcPr>
          <w:p>
            <w:r>
              <w:rPr>
                <w:rFonts w:ascii="Times New Roman" w:hAnsi="Times New Roman"/>
                <w:sz w:val="22"/>
              </w:rPr>
              <w:t>docker-compose.yml</w:t>
            </w:r>
          </w:p>
        </w:tc>
        <w:tc>
          <w:tcPr>
            <w:tcW w:type="dxa" w:w="6803"/>
          </w:tcPr>
          <w:p>
            <w:r>
              <w:rPr>
                <w:rFonts w:ascii="Times New Roman" w:hAnsi="Times New Roman"/>
                <w:sz w:val="22"/>
              </w:rPr>
              <w:t>Полная оркестрация: Kafka, Flink, ClickHouse, Prometheus, Grafana</w:t>
            </w:r>
          </w:p>
        </w:tc>
      </w:tr>
      <w:tr>
        <w:tc>
          <w:tcPr>
            <w:tcW w:type="dxa" w:w="2835"/>
          </w:tcPr>
          <w:p>
            <w:r>
              <w:rPr>
                <w:rFonts w:ascii="Times New Roman" w:hAnsi="Times New Roman"/>
                <w:sz w:val="22"/>
              </w:rPr>
              <w:t>pipeline/</w:t>
            </w:r>
          </w:p>
        </w:tc>
        <w:tc>
          <w:tcPr>
            <w:tcW w:type="dxa" w:w="6803"/>
          </w:tcPr>
          <w:p>
            <w:r>
              <w:rPr>
                <w:rFonts w:ascii="Times New Roman" w:hAnsi="Times New Roman"/>
                <w:sz w:val="22"/>
              </w:rPr>
              <w:t>Исходный код Flink Job (Python/PyFlink)</w:t>
            </w:r>
          </w:p>
        </w:tc>
      </w:tr>
      <w:tr>
        <w:tc>
          <w:tcPr>
            <w:tcW w:type="dxa" w:w="2835"/>
          </w:tcPr>
          <w:p>
            <w:r>
              <w:rPr>
                <w:rFonts w:ascii="Times New Roman" w:hAnsi="Times New Roman"/>
                <w:sz w:val="22"/>
              </w:rPr>
              <w:t>generator/</w:t>
            </w:r>
          </w:p>
        </w:tc>
        <w:tc>
          <w:tcPr>
            <w:tcW w:type="dxa" w:w="6803"/>
          </w:tcPr>
          <w:p>
            <w:r>
              <w:rPr>
                <w:rFonts w:ascii="Times New Roman" w:hAnsi="Times New Roman"/>
                <w:sz w:val="22"/>
              </w:rPr>
              <w:t>Генератор синтетических платёжных событий</w:t>
            </w:r>
          </w:p>
        </w:tc>
      </w:tr>
      <w:tr>
        <w:tc>
          <w:tcPr>
            <w:tcW w:type="dxa" w:w="2835"/>
          </w:tcPr>
          <w:p>
            <w:r>
              <w:rPr>
                <w:rFonts w:ascii="Times New Roman" w:hAnsi="Times New Roman"/>
                <w:sz w:val="22"/>
              </w:rPr>
              <w:t>infra/clickhouse/</w:t>
            </w:r>
          </w:p>
        </w:tc>
        <w:tc>
          <w:tcPr>
            <w:tcW w:type="dxa" w:w="6803"/>
          </w:tcPr>
          <w:p>
            <w:r>
              <w:rPr>
                <w:rFonts w:ascii="Times New Roman" w:hAnsi="Times New Roman"/>
                <w:sz w:val="22"/>
              </w:rPr>
              <w:t>DDL-скрипты создания таблиц ClickHouse</w:t>
            </w:r>
          </w:p>
        </w:tc>
      </w:tr>
      <w:tr>
        <w:tc>
          <w:tcPr>
            <w:tcW w:type="dxa" w:w="2835"/>
          </w:tcPr>
          <w:p>
            <w:r>
              <w:rPr>
                <w:rFonts w:ascii="Times New Roman" w:hAnsi="Times New Roman"/>
                <w:sz w:val="22"/>
              </w:rPr>
              <w:t>monitoring/</w:t>
            </w:r>
          </w:p>
        </w:tc>
        <w:tc>
          <w:tcPr>
            <w:tcW w:type="dxa" w:w="6803"/>
          </w:tcPr>
          <w:p>
            <w:r>
              <w:rPr>
                <w:rFonts w:ascii="Times New Roman" w:hAnsi="Times New Roman"/>
                <w:sz w:val="22"/>
              </w:rPr>
              <w:t>Конфигурация Prometheus и правила алертов Grafana</w:t>
            </w:r>
          </w:p>
        </w:tc>
      </w:tr>
      <w:tr>
        <w:tc>
          <w:tcPr>
            <w:tcW w:type="dxa" w:w="2835"/>
          </w:tcPr>
          <w:p>
            <w:r>
              <w:rPr>
                <w:rFonts w:ascii="Times New Roman" w:hAnsi="Times New Roman"/>
                <w:sz w:val="22"/>
              </w:rPr>
              <w:t>tests/</w:t>
            </w:r>
          </w:p>
        </w:tc>
        <w:tc>
          <w:tcPr>
            <w:tcW w:type="dxa" w:w="6803"/>
          </w:tcPr>
          <w:p>
            <w:r>
              <w:rPr>
                <w:rFonts w:ascii="Times New Roman" w:hAnsi="Times New Roman"/>
                <w:sz w:val="22"/>
              </w:rPr>
              <w:t>Функциональные, интеграционные и нагрузочные тесты</w:t>
            </w:r>
          </w:p>
        </w:tc>
      </w:tr>
      <w:tr>
        <w:tc>
          <w:tcPr>
            <w:tcW w:type="dxa" w:w="2835"/>
          </w:tcPr>
          <w:p>
            <w:r>
              <w:rPr>
                <w:rFonts w:ascii="Times New Roman" w:hAnsi="Times New Roman"/>
                <w:sz w:val="22"/>
              </w:rPr>
              <w:t>docs/</w:t>
            </w:r>
          </w:p>
        </w:tc>
        <w:tc>
          <w:tcPr>
            <w:tcW w:type="dxa" w:w="6803"/>
          </w:tcPr>
          <w:p>
            <w:r>
              <w:rPr>
                <w:rFonts w:ascii="Times New Roman" w:hAnsi="Times New Roman"/>
                <w:sz w:val="22"/>
              </w:rPr>
              <w:t>Проектная документация (markdown), ADR, runbook</w:t>
            </w:r>
          </w:p>
        </w:tc>
      </w:tr>
    </w:tbl>
    <w:p>
      <w:pPr>
        <w:spacing w:before="240" w:after="120"/>
        <w:jc w:val="center"/>
      </w:pPr>
      <w:r>
        <w:rPr>
          <w:rFonts w:ascii="Times New Roman" w:hAnsi="Times New Roman"/>
          <w:b/>
          <w:sz w:val="32"/>
        </w:rPr>
        <w:t>Приложение 2</w:t>
      </w:r>
    </w:p>
    <w:p>
      <w:pPr>
        <w:spacing w:before="240" w:after="120"/>
      </w:pPr>
      <w:r>
        <w:rPr>
          <w:rFonts w:ascii="Times New Roman" w:hAnsi="Times New Roman"/>
          <w:b/>
          <w:sz w:val="28"/>
        </w:rPr>
        <w:t>Глоссарий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2551"/>
          </w:tcPr>
          <w:p>
            <w:r>
              <w:rPr>
                <w:rFonts w:ascii="Times New Roman" w:hAnsi="Times New Roman"/>
                <w:b/>
                <w:sz w:val="22"/>
              </w:rPr>
              <w:t>Термин</w:t>
            </w:r>
          </w:p>
        </w:tc>
        <w:tc>
          <w:tcPr>
            <w:tcW w:type="dxa" w:w="7087"/>
          </w:tcPr>
          <w:p>
            <w:r>
              <w:rPr>
                <w:rFonts w:ascii="Times New Roman" w:hAnsi="Times New Roman"/>
                <w:b/>
                <w:sz w:val="22"/>
              </w:rPr>
              <w:t>Определение</w:t>
            </w:r>
          </w:p>
        </w:tc>
      </w:tr>
      <w:tr>
        <w:tc>
          <w:tcPr>
            <w:tcW w:type="dxa" w:w="2551"/>
          </w:tcPr>
          <w:p>
            <w:r>
              <w:rPr>
                <w:rFonts w:ascii="Times New Roman" w:hAnsi="Times New Roman"/>
                <w:sz w:val="22"/>
              </w:rPr>
              <w:t>NRT (Near Real-Time)</w:t>
            </w:r>
          </w:p>
        </w:tc>
        <w:tc>
          <w:tcPr>
            <w:tcW w:type="dxa" w:w="7087"/>
          </w:tcPr>
          <w:p>
            <w:r>
              <w:rPr>
                <w:rFonts w:ascii="Times New Roman" w:hAnsi="Times New Roman"/>
                <w:sz w:val="22"/>
              </w:rPr>
              <w:t>Режим обработки с задержкой порядка секунд (не минут и не часов)</w:t>
            </w:r>
          </w:p>
        </w:tc>
      </w:tr>
      <w:tr>
        <w:tc>
          <w:tcPr>
            <w:tcW w:type="dxa" w:w="2551"/>
          </w:tcPr>
          <w:p>
            <w:r>
              <w:rPr>
                <w:rFonts w:ascii="Times New Roman" w:hAnsi="Times New Roman"/>
                <w:sz w:val="22"/>
              </w:rPr>
              <w:t>SCD Type 2</w:t>
            </w:r>
          </w:p>
        </w:tc>
        <w:tc>
          <w:tcPr>
            <w:tcW w:type="dxa" w:w="7087"/>
          </w:tcPr>
          <w:p>
            <w:r>
              <w:rPr>
                <w:rFonts w:ascii="Times New Roman" w:hAnsi="Times New Roman"/>
                <w:sz w:val="22"/>
              </w:rPr>
              <w:t>Slowly Changing Dimension Type 2: хранение истории изменений атрибутов через создание новых строк с временными метками</w:t>
            </w:r>
          </w:p>
        </w:tc>
      </w:tr>
      <w:tr>
        <w:tc>
          <w:tcPr>
            <w:tcW w:type="dxa" w:w="2551"/>
          </w:tcPr>
          <w:p>
            <w:r>
              <w:rPr>
                <w:rFonts w:ascii="Times New Roman" w:hAnsi="Times New Roman"/>
                <w:sz w:val="22"/>
              </w:rPr>
              <w:t>Kappa-архитектура</w:t>
            </w:r>
          </w:p>
        </w:tc>
        <w:tc>
          <w:tcPr>
            <w:tcW w:type="dxa" w:w="7087"/>
          </w:tcPr>
          <w:p>
            <w:r>
              <w:rPr>
                <w:rFonts w:ascii="Times New Roman" w:hAnsi="Times New Roman"/>
                <w:sz w:val="22"/>
              </w:rPr>
              <w:t>Архитектурный паттерн потоковых систем: единый путь обработки без отдельного batch-слоя</w:t>
            </w:r>
          </w:p>
        </w:tc>
      </w:tr>
      <w:tr>
        <w:tc>
          <w:tcPr>
            <w:tcW w:type="dxa" w:w="2551"/>
          </w:tcPr>
          <w:p>
            <w:r>
              <w:rPr>
                <w:rFonts w:ascii="Times New Roman" w:hAnsi="Times New Roman"/>
                <w:sz w:val="22"/>
              </w:rPr>
              <w:t>CDC (Change Data Capture)</w:t>
            </w:r>
          </w:p>
        </w:tc>
        <w:tc>
          <w:tcPr>
            <w:tcW w:type="dxa" w:w="7087"/>
          </w:tcPr>
          <w:p>
            <w:r>
              <w:rPr>
                <w:rFonts w:ascii="Times New Roman" w:hAnsi="Times New Roman"/>
                <w:sz w:val="22"/>
              </w:rPr>
              <w:t>Метод захвата изменений непосредственно из транзакционного лога СУБД</w:t>
            </w:r>
          </w:p>
        </w:tc>
      </w:tr>
      <w:tr>
        <w:tc>
          <w:tcPr>
            <w:tcW w:type="dxa" w:w="2551"/>
          </w:tcPr>
          <w:p>
            <w:r>
              <w:rPr>
                <w:rFonts w:ascii="Times New Roman" w:hAnsi="Times New Roman"/>
                <w:sz w:val="22"/>
              </w:rPr>
              <w:t>Watermark</w:t>
            </w:r>
          </w:p>
        </w:tc>
        <w:tc>
          <w:tcPr>
            <w:tcW w:type="dxa" w:w="7087"/>
          </w:tcPr>
          <w:p>
            <w:r>
              <w:rPr>
                <w:rFonts w:ascii="Times New Roman" w:hAnsi="Times New Roman"/>
                <w:sz w:val="22"/>
              </w:rPr>
              <w:t>Механизм Flink для обозначения текущего прогресса event-time: события старше watermark признаются «опоздавшими»</w:t>
            </w:r>
          </w:p>
        </w:tc>
      </w:tr>
      <w:tr>
        <w:tc>
          <w:tcPr>
            <w:tcW w:type="dxa" w:w="2551"/>
          </w:tcPr>
          <w:p>
            <w:r>
              <w:rPr>
                <w:rFonts w:ascii="Times New Roman" w:hAnsi="Times New Roman"/>
                <w:sz w:val="22"/>
              </w:rPr>
              <w:t>DLQ (Dead Letter Queue)</w:t>
            </w:r>
          </w:p>
        </w:tc>
        <w:tc>
          <w:tcPr>
            <w:tcW w:type="dxa" w:w="7087"/>
          </w:tcPr>
          <w:p>
            <w:r>
              <w:rPr>
                <w:rFonts w:ascii="Times New Roman" w:hAnsi="Times New Roman"/>
                <w:sz w:val="22"/>
              </w:rPr>
              <w:t>Специальный Kafka-топик для невалидных или необработанных событий</w:t>
            </w:r>
          </w:p>
        </w:tc>
      </w:tr>
      <w:tr>
        <w:tc>
          <w:tcPr>
            <w:tcW w:type="dxa" w:w="2551"/>
          </w:tcPr>
          <w:p>
            <w:r>
              <w:rPr>
                <w:rFonts w:ascii="Times New Roman" w:hAnsi="Times New Roman"/>
                <w:sz w:val="22"/>
              </w:rPr>
              <w:t>RocksDB</w:t>
            </w:r>
          </w:p>
        </w:tc>
        <w:tc>
          <w:tcPr>
            <w:tcW w:type="dxa" w:w="7087"/>
          </w:tcPr>
          <w:p>
            <w:r>
              <w:rPr>
                <w:rFonts w:ascii="Times New Roman" w:hAnsi="Times New Roman"/>
                <w:sz w:val="22"/>
              </w:rPr>
              <w:t>LSM-дерево, используемое как state backend в Flink для хранения состояния операторов</w:t>
            </w:r>
          </w:p>
        </w:tc>
      </w:tr>
      <w:tr>
        <w:tc>
          <w:tcPr>
            <w:tcW w:type="dxa" w:w="2551"/>
          </w:tcPr>
          <w:p>
            <w:r>
              <w:rPr>
                <w:rFonts w:ascii="Times New Roman" w:hAnsi="Times New Roman"/>
                <w:sz w:val="22"/>
              </w:rPr>
              <w:t>effectively-exactly-once</w:t>
            </w:r>
          </w:p>
        </w:tc>
        <w:tc>
          <w:tcPr>
            <w:tcW w:type="dxa" w:w="7087"/>
          </w:tcPr>
          <w:p>
            <w:r>
              <w:rPr>
                <w:rFonts w:ascii="Times New Roman" w:hAnsi="Times New Roman"/>
                <w:sz w:val="22"/>
              </w:rPr>
              <w:t>Гарантия: событие обрабатывается как минимум один раз, но в хранилище попадает ровно одна запись (за счёт идемпотентности sink)</w:t>
            </w:r>
          </w:p>
        </w:tc>
      </w:tr>
      <w:tr>
        <w:tc>
          <w:tcPr>
            <w:tcW w:type="dxa" w:w="2551"/>
          </w:tcPr>
          <w:p>
            <w:r>
              <w:rPr>
                <w:rFonts w:ascii="Times New Roman" w:hAnsi="Times New Roman"/>
                <w:sz w:val="22"/>
              </w:rPr>
              <w:t>ReplacingMergeTree</w:t>
            </w:r>
          </w:p>
        </w:tc>
        <w:tc>
          <w:tcPr>
            <w:tcW w:type="dxa" w:w="7087"/>
          </w:tcPr>
          <w:p>
            <w:r>
              <w:rPr>
                <w:rFonts w:ascii="Times New Roman" w:hAnsi="Times New Roman"/>
                <w:sz w:val="22"/>
              </w:rPr>
              <w:t>Движок таблицы ClickHouse, удаляющий дублирующиеся строки с одинаковым ключом сортировки при слиянии</w:t>
            </w:r>
          </w:p>
        </w:tc>
      </w:tr>
      <w:tr>
        <w:tc>
          <w:tcPr>
            <w:tcW w:type="dxa" w:w="2551"/>
          </w:tcPr>
          <w:p>
            <w:r>
              <w:rPr>
                <w:rFonts w:ascii="Times New Roman" w:hAnsi="Times New Roman"/>
                <w:sz w:val="22"/>
              </w:rPr>
              <w:t>p99 latency</w:t>
            </w:r>
          </w:p>
        </w:tc>
        <w:tc>
          <w:tcPr>
            <w:tcW w:type="dxa" w:w="7087"/>
          </w:tcPr>
          <w:p>
            <w:r>
              <w:rPr>
                <w:rFonts w:ascii="Times New Roman" w:hAnsi="Times New Roman"/>
                <w:sz w:val="22"/>
              </w:rPr>
              <w:t>99-й перцентиль задержки: 99% событий обрабатываются быстрее данного значения</w:t>
            </w:r>
          </w:p>
        </w:tc>
      </w:tr>
    </w:tbl>
    <w:sectPr w:rsidR="00FC693F" w:rsidRPr="0006063C" w:rsidSect="00034616">
      <w:footerReference w:type="default" r:id="rId9"/>
      <w:pgSz w:w="12240" w:h="15840"/>
      <w:pgMar w:top="1134" w:right="56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/>
        <w:sz w:val="24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