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6"/>
        <w:spacing w:before="0" w:after="0"/>
        <w:jc w:val="center"/>
        <w:rPr>
          <w:rFonts w:ascii="Times New Roman" w:hAnsi="Times New Roman"/>
        </w:rPr>
      </w:pPr>
      <w:r>
        <w:rPr>
          <w:rFonts w:eastAsia="Times New Roman" w:ascii="Times New Roman" w:hAnsi="Times New Roman"/>
          <w:b/>
          <w:i w:val="false"/>
          <w:iCs w:val="false"/>
          <w:smallCaps/>
          <w:color w:val="000000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Heading6"/>
        <w:spacing w:before="0" w:after="0"/>
        <w:jc w:val="center"/>
        <w:rPr>
          <w:rFonts w:ascii="Times New Roman" w:hAnsi="Times New Roman"/>
        </w:rPr>
      </w:pPr>
      <w:r>
        <w:rPr>
          <w:rFonts w:eastAsia="Times New Roman" w:ascii="Times New Roman" w:hAnsi="Times New Roman"/>
          <w:b/>
          <w:i w:val="false"/>
          <w:iCs w:val="false"/>
          <w:smallCaps/>
          <w:color w:val="000000"/>
          <w:sz w:val="24"/>
          <w:szCs w:val="24"/>
        </w:rPr>
        <w:t xml:space="preserve">"НАЦИОНАЛЬНЫЙ ИССЛЕДОВАТЕЛЬСКИЙ УНИВЕРСИТЕТ </w:t>
      </w:r>
    </w:p>
    <w:p>
      <w:pPr>
        <w:pStyle w:val="Heading6"/>
        <w:spacing w:before="0" w:after="0"/>
        <w:jc w:val="center"/>
        <w:rPr>
          <w:rFonts w:ascii="Times New Roman" w:hAnsi="Times New Roman"/>
        </w:rPr>
      </w:pPr>
      <w:r>
        <w:rPr>
          <w:rFonts w:eastAsia="Times New Roman" w:ascii="Times New Roman" w:hAnsi="Times New Roman"/>
          <w:b/>
          <w:i w:val="false"/>
          <w:iCs w:val="false"/>
          <w:smallCaps/>
          <w:color w:val="000000"/>
          <w:sz w:val="24"/>
          <w:szCs w:val="24"/>
        </w:rPr>
        <w:t>"ВЫСШАЯ ШКОЛА ЭКОНОМИКИ"</w:t>
      </w:r>
    </w:p>
    <w:p>
      <w:pPr>
        <w:pStyle w:val="Heading6"/>
        <w:spacing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i w:val="false"/>
          <w:color w:val="auto"/>
          <w:sz w:val="24"/>
          <w:szCs w:val="24"/>
        </w:rPr>
        <w:t>ФАКУЛЬТЕТ КОМПЬЮТЕРНЫХ НАУК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  <w:color w:val="auto"/>
          <w:sz w:val="26"/>
          <w:szCs w:val="26"/>
          <w:u w:val="single"/>
        </w:rPr>
        <w:t>Ичёв Евгений Вадимович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color w:val="auto"/>
          <w:sz w:val="26"/>
          <w:szCs w:val="26"/>
          <w:u w:val="single"/>
        </w:rPr>
      </w:pPr>
      <w:r>
        <w:rPr>
          <w:rFonts w:ascii="Times New Roman" w:hAnsi="Times New Roman"/>
          <w:color w:val="auto"/>
          <w:sz w:val="26"/>
          <w:szCs w:val="26"/>
          <w:u w:val="single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>ВЫПУСКНАЯ КВАЛИФИКАЦИОННАЯ РАБОТА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mallCaps/>
          <w:color w:val="auto"/>
          <w:sz w:val="26"/>
          <w:szCs w:val="26"/>
          <w:u w:val="single"/>
        </w:rPr>
        <w:t>РАЗРАБОТКА НАГРУЖЕННОГО В РЕЖИМЕ БЛИЗКОГО К РЕАЛЬНОМУ ВРЕМЕНИ КОНВЕЙЕРА ДАННЫХ ПОСТАВКИ ПЛАТЁЖНОЙ ИНФОРМАЦИИ, С СОХРАНЕНИЕМ ИСТОРИИ ПЛАТЕЖЕЙ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z w:val="26"/>
          <w:szCs w:val="26"/>
          <w:u w:val="single"/>
          <w:lang w:val="en-US"/>
        </w:rPr>
        <w:t>DEVELOPMENT OF AN NRT(NEAR REAL-TIME) DATA PIPELINE FOR THE SUPPLY OF PAYMENT INFORMATION, WHILE MAINTAINING THE PAYMENT HISTORY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 xml:space="preserve">по направлению подготовки </w:t>
      </w:r>
      <w:r>
        <w:rPr>
          <w:rFonts w:ascii="Times New Roman" w:hAnsi="Times New Roman"/>
          <w:sz w:val="26"/>
          <w:szCs w:val="26"/>
          <w:u w:val="single"/>
        </w:rPr>
        <w:t>01.04.02 Прикладная математика и информатика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 xml:space="preserve">образовательная программа </w:t>
      </w:r>
      <w:r>
        <w:rPr>
          <w:rFonts w:ascii="Times New Roman" w:hAnsi="Times New Roman"/>
          <w:color w:val="auto"/>
          <w:sz w:val="26"/>
          <w:szCs w:val="26"/>
        </w:rPr>
        <w:t>«Аналитика больших данных»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spacing w:lineRule="auto" w:line="360" w:before="0" w:after="0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>Студент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Е.В. Ичёв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tabs>
          <w:tab w:val="clear" w:pos="720"/>
          <w:tab w:val="right" w:pos="9355" w:leader="none"/>
        </w:tabs>
        <w:spacing w:lineRule="auto" w:line="360" w:before="0" w:after="0"/>
        <w:jc w:val="end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ab/>
        <w:t>Научный руководитель</w:t>
      </w:r>
    </w:p>
    <w:p>
      <w:pPr>
        <w:pStyle w:val="Normal"/>
        <w:spacing w:lineRule="auto" w:line="360" w:before="0" w:after="0"/>
        <w:jc w:val="end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>старший преподаватель, ДБДИП ФКН, НИУ ВШЭ</w:t>
      </w:r>
    </w:p>
    <w:p>
      <w:pPr>
        <w:pStyle w:val="Normal"/>
        <w:spacing w:lineRule="auto" w:line="360" w:before="0" w:after="0"/>
        <w:jc w:val="end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>Е.А Паточенко</w:t>
      </w:r>
    </w:p>
    <w:p>
      <w:pPr>
        <w:pStyle w:val="Normal"/>
        <w:spacing w:lineRule="auto" w:line="360" w:before="0" w:after="0"/>
        <w:jc w:val="end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spacing w:lineRule="auto" w:line="360" w:before="0" w:after="0"/>
        <w:jc w:val="end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>Соруководитель</w:t>
      </w:r>
    </w:p>
    <w:p>
      <w:pPr>
        <w:pStyle w:val="Normal"/>
        <w:spacing w:lineRule="auto" w:line="360" w:before="0" w:after="0"/>
        <w:jc w:val="end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>руководитель группы, ООО «Информационные бизнес системы»</w:t>
      </w:r>
    </w:p>
    <w:p>
      <w:pPr>
        <w:pStyle w:val="Normal"/>
        <w:spacing w:lineRule="auto" w:line="360" w:before="0" w:after="0"/>
        <w:jc w:val="end"/>
        <w:rPr>
          <w:rFonts w:ascii="Times New Roman" w:hAnsi="Times New Roman"/>
        </w:rPr>
      </w:pPr>
      <w:r>
        <w:rPr>
          <w:rFonts w:ascii="Times New Roman" w:hAnsi="Times New Roman"/>
          <w:sz w:val="26"/>
          <w:szCs w:val="26"/>
        </w:rPr>
        <w:t>В.В. Заигрин</w:t>
      </w:r>
    </w:p>
    <w:p>
      <w:pPr>
        <w:pStyle w:val="Normal"/>
        <w:spacing w:lineRule="auto" w:line="360" w:before="0" w:after="0"/>
        <w:jc w:val="end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</w:rPr>
        <w:sectPr>
          <w:type w:val="nextPage"/>
          <w:pgSz w:w="12240" w:h="15840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Times New Roman" w:hAnsi="Times New Roman"/>
          <w:sz w:val="24"/>
          <w:szCs w:val="24"/>
        </w:rPr>
        <w:t>Москва 202</w:t>
      </w:r>
      <w:bookmarkStart w:id="0" w:name="_GoBack"/>
      <w:bookmarkEnd w:id="0"/>
      <w:r>
        <w:rPr>
          <w:rFonts w:ascii="Times New Roman" w:hAnsi="Times New Roman"/>
          <w:sz w:val="24"/>
          <w:szCs w:val="24"/>
        </w:rPr>
        <w:t>6</w:t>
      </w:r>
    </w:p>
    <w:p>
      <w:pPr>
        <w:pStyle w:val="Normal"/>
        <w:keepNext w:val="true"/>
        <w:spacing w:before="240" w:after="120"/>
        <w:jc w:val="center"/>
        <w:rPr/>
      </w:pPr>
      <w:r>
        <w:rPr>
          <w:rFonts w:ascii="Times New Roman" w:hAnsi="Times New Roman"/>
          <w:b/>
          <w:sz w:val="32"/>
        </w:rPr>
        <w:t>АННОТАЦИЯ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В рамках данной выпускной квалификационной работы разработана система доставки платёжных данных в режиме, близком к реальному времени (Near Real-Time, NRT), с сохранением полной истории изменений на основе паттерна Slowly Changing Dimension Type 2 (SCD2). Система обеспечивает доставку событий об изменении статуса платежей из OLTP-систем в аналитическое хранилище с задержкой не более 30 секунд (p99) при сохранении полной версионной истории и effectively-exactly-once семантикой обработки на уровне аналитического состояния. Для реализации используется стек: Apache Kafka 3.x (брокер сообщений), Apache Flink 1.19 (потоковая обработка), ClickHouse 24.x (аналитическое хранилище). Выбрана Kappa-архитектура как единый потоковый путь без дублирования кодовой базы. Проведены функциональное и нагрузочное тестирование: при 200 событий/сек p99-задержка составила 4.0 с (SLA ≤ 30 с). Эффективная ёмкость 1 TaskManager (4 слота) — ~480 событий/сек. После async-буферизации ClickHouse sink горизонтальное масштабирование верифицировано: 2 TM (parallelism=8) обрабатывают 500 событий/сек с p99 = 14.0 с (TC-C06, SLA ✅).</w:t>
      </w:r>
    </w:p>
    <w:p>
      <w:pPr>
        <w:pStyle w:val="Normal"/>
        <w:keepNext w:val="true"/>
        <w:spacing w:before="240" w:after="120"/>
        <w:jc w:val="center"/>
        <w:rPr/>
      </w:pPr>
      <w:r>
        <w:rPr>
          <w:rFonts w:ascii="Times New Roman" w:hAnsi="Times New Roman"/>
          <w:b/>
          <w:sz w:val="32"/>
        </w:rPr>
        <w:t>СПИСОК КЛЮЧЕВЫХ СЛОВ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конвейер данных, потоковая обработка, платёжные данные, Kappa-архитектура, история платежей, SCD Type 2, дедупликация, аналитическое хранилище.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ОГЛАВЛЕНИЕ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Аннотация</w:t>
        <w:tab/>
        <w:t>2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Список ключевых слов</w:t>
        <w:tab/>
        <w:t>2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Введение</w:t>
        <w:tab/>
        <w:t>4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Глава 1. Обзор литературы и анализ существующих решений</w:t>
        <w:tab/>
        <w:t>6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1.1. Архитектурные паттерны потоковой обработки</w:t>
        <w:tab/>
        <w:t>6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1.2. Обзор инструментов и их сравнение</w:t>
        <w:tab/>
        <w:t>7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1.3. Обзор аналогов и позиционирование работы</w:t>
        <w:tab/>
        <w:t>8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Глава 2. Постановка задачи и проектирование системы</w:t>
        <w:tab/>
        <w:t>9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2.1. Функциональные и нефункциональные требования</w:t>
        <w:tab/>
        <w:t>9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2.2. Архитектурные решения (ADR)</w:t>
        <w:tab/>
        <w:t>10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2.3. Схема потоков данных и компонентная архитектура</w:t>
        <w:tab/>
        <w:t>11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2.4. Трассировка требований и границы системы</w:t>
        <w:tab/>
        <w:t>12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Глава 3. Проектирование хранения истории</w:t>
        <w:tab/>
        <w:t>13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3.1. SCD Type 2 и append-only event log</w:t>
        <w:tab/>
        <w:t>13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3.2. Схема данных ClickHouse</w:t>
        <w:tab/>
        <w:t>14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3.3. Корректность восстановления состояния</w:t>
        <w:tab/>
        <w:t>15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Глава 4. Реализация конвейера</w:t>
        <w:tab/>
        <w:t>15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4.1. Структура проекта и технологический стек</w:t>
        <w:tab/>
        <w:t>15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4.2. Операторы обработки: валидация, обогащение, SCD merge</w:t>
        <w:tab/>
        <w:t>16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4.3. Дедупликация и гарантии exactly-once</w:t>
        <w:tab/>
        <w:t>18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4.4. Отказоустойчивость и эксплуатационные сценарии</w:t>
        <w:tab/>
        <w:t>19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Глава 5. Качество данных и наблюдаемость</w:t>
        <w:tab/>
        <w:t>19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5.1. Трёхуровневые DQ-проверки</w:t>
        <w:tab/>
        <w:t>19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5.2. Мониторинг (Prometheus + Grafana)</w:t>
        <w:tab/>
        <w:t>20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Глава 6. Тестирование</w:t>
        <w:tab/>
        <w:t>21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6.1. Стратегия тестирования</w:t>
        <w:tab/>
        <w:t>21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6.2. Функциональные тест-кейсы</w:t>
        <w:tab/>
        <w:t>21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6.3. Нагрузочное тестирование</w:t>
        <w:tab/>
        <w:t>22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 xml:space="preserve">  </w:t>
      </w:r>
      <w:r>
        <w:rPr>
          <w:rFonts w:ascii="Times New Roman" w:hAnsi="Times New Roman"/>
          <w:sz w:val="26"/>
        </w:rPr>
        <w:t>6.4. Достоверность результатов и ограничения эксперимента</w:t>
        <w:tab/>
        <w:t>24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Заключение</w:t>
        <w:tab/>
        <w:t>24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Список литературы</w:t>
        <w:tab/>
        <w:t>25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Приложение А. Репозиторий GitHub и структура проекта</w:t>
        <w:tab/>
        <w:t>27</w:t>
      </w:r>
    </w:p>
    <w:p>
      <w:pPr>
        <w:pStyle w:val="Normal"/>
        <w:tabs>
          <w:tab w:val="clear" w:pos="720"/>
          <w:tab w:val="right" w:pos="9350" w:leader="dot"/>
        </w:tabs>
        <w:spacing w:before="0" w:after="40"/>
        <w:rPr/>
      </w:pPr>
      <w:r>
        <w:rPr>
          <w:rFonts w:ascii="Times New Roman" w:hAnsi="Times New Roman"/>
          <w:sz w:val="26"/>
        </w:rPr>
        <w:t>Приложение Б. Глоссарий</w:t>
        <w:tab/>
        <w:t>27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ВВЕДЕНИЕ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Платёжные операции в современных финансовых системах генерируют непрерывный поток событий: инициация платежа, авторизация, клиринг, возврат, отмена. Традиционный подход к интеграции — ночная пакетная загрузка (batch ETL) — обеспечивает поступление данных в аналитические системы с задержкой от нескольких часов до суток. Это неприемлемо для задач антифрода, регуляторной отчётности в режиме реального времени и оперативного мониторинга.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Цель данной работы — разработать конвейер данных, который принимает события о платежах из одного или нескольких источников, обрабатывает и нормализует их, поставляет результат потребителям с задержкой не более 30 секунд от момента возникновения события и сохраняет полную историю изменений каждого платежа для аудита и аналитики.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Актуальность работы обусловлена двумя факторами. Во-первых, требования регулятора (Банк России) к оперативности предоставления данных ужесточаются: отчётность по подозрительным операциям должна формироваться в режиме NRT. Во-вторых, классические batch-решения не масштабируются до нужного уровня оперативности без принципиального пересмотра архитектуры.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Практическая и инженерная ценность работы заключается в следующем: разработана и верифицирована композитная стратегия дедупликации на трёх уровнях (Kafka idempotent producer, Flink MapState с TTL, ClickHouse ReplacingMergeTree), обеспечивающая effectively-exactly-once семантику без полного exactly-once в каждом компоненте по отдельности. Реализация объединяет SCD2-хранение истории и потоковую обработку в единой Kappa-архитектуре применительно к платёжным данным.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Структура работы. Глава 1 содержит обзор литературы и анализ аналогов. Глава 2 описывает постановку задачи и архитектурные решения. Глава 3 посвящена проектированию хранения истории. Глава 4 — реализации конвейера. Глава 5 — качеству данных и наблюдаемости. Глава 6 — тестированию и результатам измерений. В Заключении приведены итоги работы и направления дальнейшего развития.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ГЛАВА 1. ОБЗОР ЛИТЕРАТУРЫ И АНАЛИЗ СУЩЕСТВУЮЩИХ РЕШЕНИЙ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1.1. Архитектурные паттерны потоковой обработки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Для построения NRT-систем рассматриваются три основных архитектурных паттерна применительно к системам обработки больших данных [13].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Lambda-архитектура [16] разделяет обработку на два независимых слоя: batch layer (периодический полный пересчёт) и speed layer (обработка в реальном времени). Serving layer объединяет результаты. Недостаток — двойная кодовая база и сложность синхронизации слоёв.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Kappa-архитектура [17] упрощает Lambda: единственный потоковый слой работает как для «живого» потока, так и для исторического replay. Брокер сообщений хранит лог событий достаточно долго для повторной обработки. Данный паттерн является оптимальным для задач NRT-пайплайнов, где нет необходимости в независимых batch-агрегатах [11].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Event-Driven Pipeline является частным случаем Kappa, ориентированным на обработку отдельных событий без необходимости агрегации по большим окнам [3]. Исследования Gürcan и Berigel [14] систематизируют lifecycle-модель: ingestion → transport → processing → storing → querying → visualization.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1.2. Обзор инструментов и их сравнение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 – Сравнение брокеров сообщений</w:t>
      </w:r>
    </w:p>
    <w:tbl>
      <w:tblPr>
        <w:tblStyle w:val="TableGrid"/>
        <w:tblW w:w="102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51"/>
        <w:gridCol w:w="2051"/>
        <w:gridCol w:w="2051"/>
        <w:gridCol w:w="2051"/>
        <w:gridCol w:w="2051"/>
      </w:tblGrid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Инструмент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Задержка p99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Replay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Экосистема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Выбор</w:t>
            </w:r>
          </w:p>
        </w:tc>
      </w:tr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Apache Kafka 3.x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5–15 мс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Нативно (offset reset)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Kafka Connect, Streams, Schema Registry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✅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Выбран</w:t>
            </w:r>
          </w:p>
        </w:tc>
      </w:tr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Apache Pulsar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5–15 мс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Нативно (tiered storage)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Активная, меньше Kafka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RabbitMQ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1–5 мс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Ограниченно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Умеренная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</w:tr>
    </w:tbl>
    <w:p>
      <w:pPr>
        <w:pStyle w:val="Normal"/>
        <w:rPr>
          <w:rFonts w:ascii="Times New Roman" w:hAnsi="Times New Roman"/>
          <w:b/>
          <w:i w:val="false"/>
          <w:sz w:val="24"/>
        </w:rPr>
      </w:pPr>
      <w:r>
        <w:rPr>
          <w:rFonts w:ascii="Times New Roman" w:hAnsi="Times New Roman"/>
          <w:b/>
          <w:i w:val="false"/>
          <w:sz w:val="24"/>
        </w:rPr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2 – Сравнение фреймворков потоковой обработки</w:t>
      </w:r>
    </w:p>
    <w:tbl>
      <w:tblPr>
        <w:tblStyle w:val="TableGrid"/>
        <w:tblW w:w="102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51"/>
        <w:gridCol w:w="2051"/>
        <w:gridCol w:w="2051"/>
        <w:gridCol w:w="2051"/>
        <w:gridCol w:w="2051"/>
      </w:tblGrid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Фреймворк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Stateful API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Event-time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State Backend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Выбор</w:t>
            </w:r>
          </w:p>
        </w:tc>
      </w:tr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Apache Flink 1.19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KeyedProcessFunction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Watermark + BoundedOutOfOrder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RocksDB (incremental)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✅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Выбран</w:t>
            </w:r>
          </w:p>
        </w:tc>
      </w:tr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Spark Structured Streaming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mapGroupsWithState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Watermark (ограниченно)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Disk checkpoint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Kafka Streams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KTable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Нет (processing-time)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RocksDB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</w:tr>
    </w:tbl>
    <w:p>
      <w:pPr>
        <w:pStyle w:val="Normal"/>
        <w:rPr>
          <w:rFonts w:ascii="Times New Roman" w:hAnsi="Times New Roman"/>
          <w:b/>
          <w:i w:val="false"/>
          <w:sz w:val="24"/>
        </w:rPr>
      </w:pPr>
      <w:r>
        <w:rPr>
          <w:rFonts w:ascii="Times New Roman" w:hAnsi="Times New Roman"/>
          <w:b/>
          <w:i w:val="false"/>
          <w:sz w:val="24"/>
        </w:rPr>
      </w:r>
    </w:p>
    <w:p>
      <w:pPr>
        <w:pStyle w:val="Normal"/>
        <w:spacing w:lineRule="auto" w:line="360" w:before="0" w:after="120"/>
        <w:jc w:val="start"/>
        <w:rPr>
          <w:rFonts w:ascii="Times New Roman" w:hAnsi="Times New Roman"/>
          <w:b/>
          <w:i w:val="false"/>
          <w:sz w:val="24"/>
        </w:rPr>
      </w:pPr>
      <w:r>
        <w:rPr>
          <w:rFonts w:ascii="Times New Roman" w:hAnsi="Times New Roman"/>
          <w:b/>
          <w:i w:val="false"/>
          <w:sz w:val="24"/>
        </w:rPr>
      </w:r>
    </w:p>
    <w:p>
      <w:pPr>
        <w:pStyle w:val="Normal"/>
        <w:spacing w:lineRule="auto" w:line="360" w:before="0" w:after="120"/>
        <w:jc w:val="start"/>
        <w:rPr>
          <w:rFonts w:ascii="Times New Roman" w:hAnsi="Times New Roman"/>
          <w:b/>
          <w:i w:val="false"/>
          <w:sz w:val="24"/>
        </w:rPr>
      </w:pPr>
      <w:r>
        <w:rPr>
          <w:rFonts w:ascii="Times New Roman" w:hAnsi="Times New Roman"/>
          <w:b/>
          <w:i w:val="false"/>
          <w:sz w:val="24"/>
        </w:rPr>
        <w:t>Таблица 3 – Сравнение аналитических хранилищ</w:t>
      </w:r>
    </w:p>
    <w:tbl>
      <w:tblPr>
        <w:tblStyle w:val="TableGrid"/>
        <w:tblW w:w="102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51"/>
        <w:gridCol w:w="2051"/>
        <w:gridCol w:w="2051"/>
        <w:gridCol w:w="2051"/>
        <w:gridCol w:w="2051"/>
      </w:tblGrid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СУБД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MergeTree / OLAP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Ingestion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Аналитика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Выбор</w:t>
            </w:r>
          </w:p>
        </w:tc>
      </w:tr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ClickHouse 24.x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ReplacingMergeTree, MergeTree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100K+ rows/s батчами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Векторизованное, SIMD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✅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Выбран</w:t>
            </w:r>
          </w:p>
        </w:tc>
      </w:tr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Apache Iceberg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Parquet + catalog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Slower streaming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Spark/Trino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Row-by-row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Медленно на OLAP</w:t>
            </w:r>
          </w:p>
        </w:tc>
        <w:tc>
          <w:tcPr>
            <w:tcW w:w="20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</w:tr>
    </w:tbl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1.3. Обзор аналогов и позиционирование работы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Ближайшим инженерным аналогом является работа Huang и Zhongming [8] «Near-real-time data pipeline using change data capture approach»: NRT-пайплайн для регуляторной отчётности по финансовым транзакциям на стеке Debezium → Kafka → Kafka Streams → ClickHouse. Измеренная задержка — 0.6 с среднее, throughput ~30 000 rec/s. Отличие данной работы: использование Apache Flink вместо Kafka Streams для поддержки stateful SCD2-логики (hashmap state, RocksDB — production-расширение), трёхуровневая дедупликация; late arrivals выделены как архитектурное ограничение прототипа.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Saket et al. [6] описывают продуктовую систему Kafka+Flink для join рекламных событий. Авторы демонстрируют 85% сокращение размера сообщений при переходе с JSON на Avro и снижение стоимости на 40%. Данная работа применяет аналогичный подход в контексте платёжных данных с акцентом на сохранение истории состояний (SCD2), что в указанной работе не рассматривалось.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Kovalenko [10] анализирует CDC-архитектуру для высоконагруженных платёжных платформ (PostgreSQL+Debezium+Kafka) [9], однако не затрагивает вопросы потоковой трансформации, дедупликации и аналитического хранения с SCD2. Данная работа восполняет этот пробел.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ГЛАВА 2. ПОСТАНОВКА ЗАДАЧИ И ПРОЕКТИРОВАНИЕ СИСТЕМЫ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2.1. Функциональные и нефункциональные требования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Система должна решать следующие функциональные задачи.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4 – Функциональные требования</w:t>
      </w:r>
    </w:p>
    <w:tbl>
      <w:tblPr>
        <w:tblStyle w:val="TableGrid"/>
        <w:tblW w:w="10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28"/>
        <w:gridCol w:w="5128"/>
      </w:tblGrid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ID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Требование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FR-01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Приём платёжных событий из внешних источников (CDC / Kafka-топик)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FR-02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Валидация каждого события по схеме перед дальнейшей обработкой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FR-03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Нормализация сумм транзакций к единой базовой валюте (RUB)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FR-04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Нормализация статусов платежей к единому внутреннему справочнику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FR-05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Поставка обработанных событий потребителям с задержкой NRT (SLA: p99 ≤ 30 с)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FR-06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Сохранение истории всех изменений состояния каждого платежа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FR-07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Поддержка point-in-time запросов: состояние платежа на любой момент времени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FR-08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Идемпотентная обработка: дублирующееся событие не создаёт дублирующуюся запись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FR-09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Направление невалидных событий в Dead Letter Queue (DLQ)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FR-10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Предоставление метрик задержки и пропускной способности</w:t>
            </w:r>
          </w:p>
        </w:tc>
      </w:tr>
    </w:tbl>
    <w:p>
      <w:pPr>
        <w:pStyle w:val="Normal"/>
        <w:rPr>
          <w:rFonts w:ascii="Times New Roman" w:hAnsi="Times New Roman"/>
          <w:b/>
          <w:i w:val="false"/>
          <w:sz w:val="24"/>
        </w:rPr>
      </w:pPr>
      <w:r>
        <w:rPr>
          <w:rFonts w:ascii="Times New Roman" w:hAnsi="Times New Roman"/>
          <w:b/>
          <w:i w:val="false"/>
          <w:sz w:val="24"/>
        </w:rPr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5 – Нефункциональные требования</w:t>
      </w:r>
    </w:p>
    <w:tbl>
      <w:tblPr>
        <w:tblStyle w:val="TableGrid"/>
        <w:tblW w:w="10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419"/>
        <w:gridCol w:w="3419"/>
        <w:gridCol w:w="3419"/>
      </w:tblGrid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ID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Требование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Целевое значение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NFR-01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Задержка e2e (p99)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≤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30 с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NFR-02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Пропускная способность (baseline)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200 событий/сек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NFR-03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Потеря данных при отказе компонента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 событий (RPO = 0)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NFR-04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Время восстановления после отказа (RTO)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≤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 минут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NFR-05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Доля событий в DLQ при нормальной работе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&lt; 1%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NFR-06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Heap JVM Flink при baseline-нагрузке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&lt; 80%</w:t>
            </w:r>
          </w:p>
        </w:tc>
      </w:tr>
    </w:tbl>
    <w:p>
      <w:pPr>
        <w:pStyle w:val="Normal"/>
        <w:spacing w:lineRule="auto" w:line="360" w:before="0" w:after="120"/>
        <w:jc w:val="both"/>
        <w:rPr>
          <w:rFonts w:ascii="Times New Roman" w:hAnsi="Times New Roman"/>
          <w:b/>
          <w:i w:val="false"/>
          <w:sz w:val="24"/>
        </w:rPr>
      </w:pPr>
      <w:r>
        <w:rPr>
          <w:rFonts w:ascii="Times New Roman" w:hAnsi="Times New Roman"/>
          <w:b/>
          <w:i w:val="false"/>
          <w:sz w:val="24"/>
        </w:rPr>
      </w:r>
    </w:p>
    <w:p>
      <w:pPr>
        <w:pStyle w:val="Normal"/>
        <w:spacing w:lineRule="auto" w:line="360" w:before="0" w:after="120"/>
        <w:jc w:val="both"/>
        <w:rPr>
          <w:rFonts w:ascii="Times New Roman" w:hAnsi="Times New Roman"/>
          <w:b/>
          <w:i w:val="false"/>
          <w:sz w:val="24"/>
        </w:rPr>
      </w:pPr>
      <w:r>
        <w:rPr>
          <w:rFonts w:ascii="Times New Roman" w:hAnsi="Times New Roman"/>
          <w:b/>
          <w:i w:val="false"/>
          <w:sz w:val="24"/>
        </w:rPr>
        <w:t>Обоснование целевой нагрузки: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Параметры нагрузки (baseline 200 событий/сек, пик до 1 000 событий/сек) обоснованы на основе открытых данных ЦБ РФ. По данным ЦБ РФ (таблица T7, "Статистика национальной платёжной системы"), в 2023 году российские кредитные организации провели ~38 млрд операций; с учётом темпа роста ~15%/год оценка на 2024 год — ~44 млрд операций, то есть ~1 400 событий/сек по всей отрасли суммарно. Целевой сегмент прототипа — аналитический конвейер крупного российского банка или среднего платёжного сервиса с объёмом 5–17 млн платёжных событий в сутки (200 событий/сек × 86 400 с). Пиковая нагрузка до 1 000 событий/сек соответствует 5-кратному росту относительно среднесуточного уровня — типовое соотношение для платёжных систем в час пик.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ascii="Times New Roman" w:hAnsi="Times New Roman"/>
          <w:b/>
          <w:i w:val="false"/>
          <w:sz w:val="24"/>
        </w:rPr>
        <w:t>Границы системы и допущения: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Разрабатываемая система покрывает путь от поступления платёжного события в Kafka до записи обработанного состояния в аналитическое хранилище ClickHouse и публикации результата для downstream-потребителей. В границы работы не включены фронтальные платёжные сервисы, авторизация банковских операций, расчёт комиссий и юридически значимая обработка персональных данных. Эти компоненты рассматриваются как внешние источники или потребители событий.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Источник данных моделируется синтетическим генератором и CDC/Kafka producer. Такое допущение позволяет воспроизводимо проверять архитектурные свойства конвейера: задержку, идемпотентность, построение истории и поведение при перегрузке. Для промышленного внедрения генератор заменяется Debezium-коннектором или прикладным producer, при этом контракт входного события сохраняется.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Система проектируется для аналитического и аудиторского контура, а не для изменения первичных транзакций в OLTP-системе. Поэтому приоритетами являются полнота истории, воспроизводимость состояния на момент времени и отсутствие потери событий. Небольшая дополнительная задержка из-за checkpoint, батчевой записи и watermark является допустимым компромиссом, если выполняется SLA p99 ≤ 30 секунд.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2.2. Архитектурные решения (ADR)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ADR-001: Выбор архитектурного паттерна. Выбрана Kappa-архитектура (единый потоковый путь) вместо Lambda. Мотивация: объём данных (≤ 200 событий/сек, 30-дневный Kafka retention ≈ 500 ГБ) допускает replay без batch-слоя; late arrivals предусмотрены архитектурой (watermark + side output), но в текущей реализации отключены (Beam PyFlink runtime не поддерживает ctx.timer_service()); снижается операционная сложность.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ADR-002: Выбор фреймворка потоковой обработки. Выбран Apache Flink 1.19 [1] вместо Spark Structured Streaming [5] и Kafka Streams. Ключевые аргументы: KeyedProcessFunction с hashmap state backend (прототип; RocksDB — production-расширение) позволяет хранить состояние per payment_id; нативная поддержка event-time watermarks [4] для корректной обработки out-of-order событий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ADR-003: Паттерн хранения истории. Выбран гибридный подход SCD Type 2 + Сохраняемый append-only лог событий: таблица payment_history (ReplacingMergeTree(processed_at)) как источник истины для аудита и replay; таблица payment_current (ReplacingMergeTree) как оптимизированное представление текущего состояния для аналитических запросов.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ADR-004: Стратегия дедупликации. Реализована трёхуровневая композитная стратегия: L1 — Kafka idempotent producer (sequence number); L2 — Flink MapState[event_id → ts] с TTL 24 часа + контентный SHA-256 хэш значимых полей (field_hash); L3 — ClickHouse ReplacingMergeTree(version) для payment_current. payment_history — ReplacingMergeTree(processed_at), дедупликация по ключу (payment_id, source_system, version), чтобы защититься от повторных INSERT при replay.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2.3. Схема потоков данных и компонентная архитектура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Система состоит из следующих основных компонентов: генератор событий / CDC (Debezium), Apache Kafka (брокер, 4 топика: payments.raw, payments.processed, payments.dlq, payments.late), Apache Flink Job (обработчик), ClickHouse (хранилище), Prometheus + Grafana (мониторинг).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Поток обработки одного события: источник → CDC/Kafka Producer → топик payments.raw → Flink ValidatorOperator (валидация, DLQ при ошибке) → Flink EnricherOperator (нормализация валюты, статуса, обогащение мерчантом) → keyBy(payment_id + source_system) → Flink ScdMergerOperator (stateful, hashmap state) → параллельно в payments.processed (Kafka) и payment_current + payment_history (ClickHouse).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6 – Топология Kafka-топиков</w:t>
      </w:r>
    </w:p>
    <w:tbl>
      <w:tblPr>
        <w:tblStyle w:val="TableGrid"/>
        <w:tblW w:w="10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64"/>
        <w:gridCol w:w="2564"/>
        <w:gridCol w:w="2564"/>
        <w:gridCol w:w="2564"/>
      </w:tblGrid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Топик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Partitions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Retention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payments.raw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Сырые события от источников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12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 дня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payments.processed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Обработанные события для downstream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6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 день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payments.dlq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Невалидные / необработанные события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30 дней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payments.late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Поздние события (&gt; watermark)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30 дней</w:t>
            </w:r>
          </w:p>
        </w:tc>
      </w:tr>
    </w:tbl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2.4. Трассировка требований и границы системы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Для программной ВКР важно показать не только список требований, но и связь между постановкой задачи, реализованными компонентами и проверками. В Таблице 7 приведена матрица трассировки: она показывает, каким модулем закрывается каждое ключевое требование и каким тестом или метрикой оно подтверждается.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7 – Трассировка требований к реализации и проверкам</w:t>
      </w:r>
    </w:p>
    <w:tbl>
      <w:tblPr>
        <w:tblStyle w:val="TableGrid"/>
        <w:tblW w:w="10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419"/>
        <w:gridCol w:w="3419"/>
        <w:gridCol w:w="3419"/>
      </w:tblGrid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Требование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Реализация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Подтверждение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FR-01, FR-05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KafkaSource, payments.raw, payments.processed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TC-A01, p99 latency в load_report.json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FR-02, FR-09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ValidatorOperator, DLQ side output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TC-A04, TC-B03, TC-B06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FR-03, FR-04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EnricherOperator, справочники валют и статусов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TC-A01, DQ-026, DQ-027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FR-06, FR-07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payment_history, effective_from/effective_to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TC-A02, TC-B01, DQ-022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FR-08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Kafka idempotent producer, MapState, SHA-256 hash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TC-A03, TC-B02, DQ-020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FR-10, NFR-01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Prometheus metrics, alerts.yml, Grafana dashboard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p50/p95/p99, consumer lag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NFR-03, NFR-04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Kafka replay, Flink checkpoints, idempotent sink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TC-C03, RPO/RTO из отчёта</w:t>
            </w:r>
          </w:p>
        </w:tc>
      </w:tr>
    </w:tbl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</w:r>
    </w:p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  <w:t>Матрица также фиксирует проверяемость результата: если требование не имеет связанного теста, метрики или DQ-проверки, оно считается неподтверждённым. Такой подход снижает риск декларативности и делает результаты работы воспроизводимыми: функциональные требования проверяются pytest-сценариями, а нефункциональные — нагрузочным тестом и метриками Prometheus.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ГЛАВА 3. ПРОЕКТИРОВАНИЕ ХРАНЕНИЯ ИСТОРИИ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Аналитическое хранилище является ключевым компонентом NRT-пайплайна [15]. В данной работе используется ClickHouse как колоночная СУБД для хранения исторических и текущих состояний платежей.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3.1. SCD Type 2 и Append-only Event Log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Для хранения истории платежей применяется гибридный подход, объединяющий два представления одних данных (Таблица 8).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8 – Паттерны хранения истории платежей</w:t>
      </w:r>
    </w:p>
    <w:tbl>
      <w:tblPr>
        <w:tblStyle w:val="TableGrid"/>
        <w:tblW w:w="10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64"/>
        <w:gridCol w:w="2564"/>
        <w:gridCol w:w="2564"/>
        <w:gridCol w:w="2564"/>
      </w:tblGrid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Таблица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Паттерн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Ключевые запросы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payment_history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Append-only log (SCD Type 2)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Полная история всех версий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Point-in-time, аудит, replay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payment_current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ReplacingMergeTree (последняя версия)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Текущее состояние платежа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Фильтрация, агрегации по актуальным данным</w:t>
            </w:r>
          </w:p>
        </w:tc>
      </w:tr>
    </w:tbl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</w:r>
    </w:p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  <w:t>Пример жизненного цикла платежа PAY-001 с четырьмя событиями (CREATED → AUTHORIZED → CLEARED → REFUNDED) формирует 4 строки в payment_history с полями effective_from / effective_to: каждая версия «закрывается» при наступлении следующего события, effective_to = NULL означает текущую версию.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3.2. Схема данных ClickHouse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ClickHouse [7] обеспечивает высокую скорость аналитических запросов за счёт колоночного хранения и векторизированных операций. Таблица payment_history содержит 22 поля. Ключевые поля схемы (Таблица 9):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9 – Схема данных ClickHouse: payment_history</w:t>
      </w:r>
    </w:p>
    <w:tbl>
      <w:tblPr>
        <w:tblStyle w:val="TableGrid"/>
        <w:tblW w:w="10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419"/>
        <w:gridCol w:w="3419"/>
        <w:gridCol w:w="3419"/>
      </w:tblGrid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Поле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Тип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payment_id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String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Бизнес-ключ платежа из источника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source_system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String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Код источника (ACQUIRING, MOBILE_APP, …)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version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UInt64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Монотонно возрастающий счётчик версий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event_id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String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UUID события (для дедупликации)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status_normalized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LowCardinality(String)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Статус во внутренней номенклатуре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effective_from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DateTime64(3)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Начало действия версии (= event_ts)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effective_to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DateTime64(3) NULL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Конец действия версии (NULL = текущая)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amount_rub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Decimal(18,4)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Сумма в RUB по курсу на момент event_ts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field_hash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String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SHA-256 значимых полей (payment_id, status_normalized, event_type, amount_rub, merchant_id, currency_original) — хранится в Flink state и в payment_history для контентной дедупликации L2</w:t>
            </w:r>
          </w:p>
        </w:tc>
      </w:tr>
    </w:tbl>
    <w:p>
      <w:pPr>
        <w:pStyle w:val="Normal"/>
        <w:keepNext w:val="true"/>
        <w:spacing w:before="240" w:after="1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3.3. Корректность восстановления состояния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Корректность SCD2-хранения определяется инвариантом: для каждой пары (payment_id, source_system) существует упорядоченная последовательность версий v1, v2, ..., vn, где effective_from версии vi равен event_ts события, создавшего эту версию, а effective_to версии vi равен effective_from следующей версии vi+1. У последней версии effective_to = NULL. При выполнении этого инварианта состояние платежа на момент времени T восстанавливается запросом по условию effective_from ≤ T &lt; effective_to либо effective_to IS NULL для текущей версии.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В реализации инвариант поддерживается оператором ScdMergerOperator. Оператор обрабатывает события в keyed-потоке по ключу payment_id + source_system, поэтому состояние одного платежа обновляется последовательно внутри одной логической партиции. При появлении нового значимого состояния оператор сначала эмитирует закрывающую запись для предыдущей версии с effective_to = event_ts нового события, а затем создаёт новую открытую запись. Наличие двух физических записей в append-only таблице является осознанным компромиссом: история остаётся неизменяемой, а логическое состояние восстанавливается фильтрацией по максимальной версии и диапазонам действия.</w:t>
      </w:r>
    </w:p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  <w:t>Поздние события предусмотрены архитектурой системы, но маршрутизация в payments.late отключена в текущей реализации (Beam PyFlink runtime не поддерживает ctx.timer_service()): все события обрабатываются независимо от watermark. Такое решение делает основной поток предсказуемым. В промышленном контуре маршрутизация late arrivals должна быть реализована через native Flink (Java/Scala) или отдельную процедуру replay / batch-correction с ручным контролем.</w:t>
      </w:r>
    </w:p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</w:r>
    </w:p>
    <w:p>
      <w:pPr>
        <w:pStyle w:val="Normal"/>
        <w:spacing w:lineRule="auto" w:line="360" w:before="0" w:after="120"/>
        <w:jc w:val="both"/>
        <w:rPr/>
      </w:pPr>
      <w:r>
        <w:rPr>
          <w:rFonts w:ascii="Times New Roman" w:hAnsi="Times New Roman"/>
          <w:b/>
          <w:i w:val="false"/>
          <w:sz w:val="24"/>
        </w:rPr>
        <w:t>Пример point-in-time запроса к истории платежа:</w:t>
      </w:r>
    </w:p>
    <w:p>
      <w:pPr>
        <w:pStyle w:val="Normal"/>
        <w:spacing w:before="0" w:after="120"/>
        <w:rPr/>
      </w:pPr>
      <w:r>
        <w:rPr>
          <w:rFonts w:ascii="Consolas" w:hAnsi="Consolas"/>
          <w:sz w:val="20"/>
        </w:rPr>
        <w:t>SELECT *</w:t>
        <w:br/>
        <w:t>FROM payments.payment_history</w:t>
        <w:br/>
        <w:t>WHERE payment_id = 'PAY-001'</w:t>
        <w:br/>
        <w:t xml:space="preserve">  AND source_system = 'ACQUIRING'</w:t>
        <w:br/>
        <w:t xml:space="preserve">  AND effective_from &lt;= toDateTime64('2026-04-30 12:00:00', 3)</w:t>
        <w:br/>
        <w:t xml:space="preserve">  AND (effective_to &gt; toDateTime64('2026-04-30 12:00:00', 3)</w:t>
        <w:br/>
        <w:t xml:space="preserve">       OR effective_to IS NULL)</w:t>
        <w:br/>
        <w:t>ORDER BY version DESC</w:t>
        <w:br/>
        <w:t>LIMIT 1;</w:t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ГЛАВА 4. РЕАЛИЗАЦИЯ КОНВЕЙЕРА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4.1. Структура проекта и технологический стек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Конвейер реализован на языке Python (PyFlink 1.19) с использованием DataStream API. Структура проекта представлена в Таблице 10.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10 – Структура модулей проекта</w:t>
      </w:r>
    </w:p>
    <w:tbl>
      <w:tblPr>
        <w:tblStyle w:val="TableGrid"/>
        <w:tblW w:w="10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28"/>
        <w:gridCol w:w="5128"/>
      </w:tblGrid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Модуль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pipeline/main.py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Точка входа, определение Flink job, топология операторов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pipeline/config.py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Конфигурация (Kafka, ClickHouse, Flink)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pipeline/models/payment_event.py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Входная модель (из Kafka payments.raw)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pipeline/models/payment_processed.py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Выходная модель (в Kafka payments.processed)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pipeline/operators/validator.py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Валидация входящих событий (L1-проверки)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pipeline/operators/enricher.py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Обогащение: курсы валют, справочник мерчантов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pipeline/operators/scd_merger.py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Stateful SCD Type 2 merge (KeyedProcessFunction, hashmap state backend)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pipeline/sinks/clickhouse_sink.py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Батчевая запись в ClickHouse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pipeline/sinks/kafka_sink.py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Запись в payments.processed и payments.dlq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generator/payment_generator.py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Генератор синтетических платёжных событий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infra/clickhouse/init.sql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DDL: создание таблиц payment_history, payment_current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docker-compose.yml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Оркестрация всех сервисов</w:t>
            </w:r>
          </w:p>
        </w:tc>
      </w:tr>
    </w:tbl>
    <w:p>
      <w:pPr>
        <w:pStyle w:val="Normal"/>
        <w:spacing w:lineRule="auto" w:line="360" w:before="0" w:after="120"/>
        <w:jc w:val="both"/>
        <w:rPr/>
      </w:pPr>
      <w:r>
        <w:rPr/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11 – Технологический стек Flink Job</w:t>
      </w:r>
    </w:p>
    <w:tbl>
      <w:tblPr>
        <w:tblStyle w:val="TableGrid"/>
        <w:tblW w:w="10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28"/>
        <w:gridCol w:w="5128"/>
      </w:tblGrid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Аспект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Решение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Язык реализации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Python (PyFlink 1.19)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Модель выполнения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DataStream API — нативный потоковый режим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State backend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hashmap (dev / прототип); RocksDB — production-расширение (не реализовано)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Checkpoint интервал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30 секунд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Watermark стратегия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BoundedOutOfOrdernessWatermark(10 мин) по event_ts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Параллелизм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Настраивается через --parallelism (default: 4)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Гарантии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At-least-once + идемпотентный sink = effectively exactly-once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Сериализация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JSON (SimpleStringSchema) — реализовано; Avro + Schema Registry — production-расширение (в прототипе не реализовано)</w:t>
            </w:r>
          </w:p>
        </w:tc>
      </w:tr>
    </w:tbl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4.2. Операторы обработки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ValidatorOperator (stateless map + split) проверяет структурные инварианты: NOT_NULL (DQ-001), NOT_BLANK (DQ-002), VALID_CURRENCY ISO 4217 (DQ-003), POSITIVE_AMOUNT &gt; 0 (DQ-005), VALID_TIMESTAMP в диапазоне [-30 дней; +60 с] (DQ-006). При нарушении событие направляется в DLQ с кодом ошибки.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EnricherOperator (stateless map + TTL-cache) нормализует валюту к RUB по курсу на момент event_ts, маппирует статус источника к внутренней номенклатуре (PENDING, AUTHORIZED, COMPLETED, FAILED, REFUNDED, CANCELLED), обогащает событие именем и категорией мерчанта из справочника.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ScdMergerOperator (stateful KeyedProcessFunction, ключ = payment_id + source_system) загружает текущую версию из hashmap state, вычисляет SHA-256 хэш значимых полей (status_normalized, event_type, amount_rub), при совпадении хэша событие признаётся дублем и пропускается (дедупликация L2+L3). При изменении хэша создаётся новая версия: version++, effective_from = event_ts, предыдущей версии устанавливается effective_to = event_ts.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4.3. Дедупликация и гарантии exactly-once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Ни один компонент стека не обеспечивает exactly-once сквозь всю цепочку. Реализована композитная стратегия из трёх уровней (Таблица 12):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12 – Трёхуровневая стратегия дедупликации</w:t>
      </w:r>
    </w:p>
    <w:tbl>
      <w:tblPr>
        <w:tblStyle w:val="TableGrid"/>
        <w:tblW w:w="10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419"/>
        <w:gridCol w:w="3419"/>
        <w:gridCol w:w="3419"/>
      </w:tblGrid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Уровень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Механизм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Охват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L1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Kafka idempotent producer (sequence number per partition)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Дубли при повторной отправке продюсером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L2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Flink MapState[event_id → ts] с TTL 24 ч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Дубли в пределах Flink job (при retry или replay)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L3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payment_current ReplacingMergeTree(version) — дедупликация по версии; payment_history ReplacingMergeTree(processed_at) — защита ключом (payment_id, source_system, version) при повторном insert/replay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Дубли в payment_current при повторной записи</w:t>
            </w:r>
          </w:p>
        </w:tc>
      </w:tr>
    </w:tbl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</w:r>
    </w:p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  <w:t>Итог: effectively-exactly-once — событие может поступить несколько раз, но в хранилище появится ровно одна запись. 9/10 функциональных требований подтверждены тест-кейсами; TC-B07 (late arrivals) — xfail из-за ограничений Beam runtime.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4.4. Отказоустойчивость и эксплуатационные сценарии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Так как конвейер относится к потоковым системам, корректность определяется не только нормальной обработкой одиночного события, но и поведением при отказах. В работе рассмотрены основные отказные сценарии: повторная отправка producer, рестарт Flink job, временная недоступность ClickHouse, накопление consumer lag и появление поздних событий. Для каждого сценария выбрана реакция, сохраняющая RPO = 0 и ограничивающая влияние на downstream-потребителей.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13 – Эксплуатационные сценарии и реакция системы</w:t>
      </w:r>
    </w:p>
    <w:tbl>
      <w:tblPr>
        <w:tblStyle w:val="TableGrid"/>
        <w:tblW w:w="10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419"/>
        <w:gridCol w:w="3419"/>
        <w:gridCol w:w="3419"/>
      </w:tblGrid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Сценарий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Риск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Механизм обработки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Повтор producer.send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Дубликаты в Kafka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enable.idempotence=true, acks=all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Рестарт Flink TaskManager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Повтор обработки после checkpoint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Kafka offsets + Flink checkpoint + L2/L3 дедупликация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Недоступен ClickHouse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Рост буфера sink и lag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Retry с backoff, повторная запись идемпотентна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Пиковая нагрузка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p99 latency &gt; SLA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Буферизация в Kafka, масштабирование parallelism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Late arrival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Нарушение SCD2-диапазонов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Маршрутизация в payments.late (не реализовано в Beam runtime; все события обрабатываются в основном потоке)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Невалидное событие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Остановка job или загрязнение хранилища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DLQ с кодом ошибки и исходным payload</w:t>
            </w:r>
          </w:p>
        </w:tc>
      </w:tr>
    </w:tbl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</w:r>
    </w:p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  <w:t>Отдельно важно различать delivery guarantees и storage semantics. Flink job сконфигурирован как at-least-once поток с checkpoint, поэтому после рестарта часть событий может быть обработана повторно. Однако повторная обработка не должна менять наблюдаемое состояние хранилища: event_id хранится в MapState, контентный SHA-256 хэш отсекает события без изменения значимых полей, а ReplacingMergeTree защищает представление payment_current от повторной записи одной версии. Поэтому итоговая гарантия формулируется как effectively-exactly-once на уровне аналитического состояния, а не как строгая транзакционная exactly-once семантика всей распределённой цепочки.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Для эксплуатации предусмотрены метрики, по которым можно принять решение о масштабировании: consumer lag, p99 e2e latency, checkpoint duration, DLQ rate, ошибки вставки в ClickHouse и heap utilization. Если consumer lag растёт при стабильной входной нагрузке, узким местом считается Flink job или sink; если увеличивается checkpoint duration, требуется анализ размера state и скорости state backend; если растёт DLQ rate, проблема относится к качеству входных данных или изменению контракта события.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ГЛАВА 5. КАЧЕСТВО ДАННЫХ И НАБЛЮДАЕМОСТЬ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5.1. Трёхуровневые DQ-проверки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Подходы к обеспечению качества данных в потоковых ETL-системах [12] реализованы на трёх уровнях: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14 – Трёхуровневые DQ-проверки</w:t>
      </w:r>
    </w:p>
    <w:tbl>
      <w:tblPr>
        <w:tblStyle w:val="TableGrid"/>
        <w:tblW w:w="10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64"/>
        <w:gridCol w:w="2564"/>
        <w:gridCol w:w="2564"/>
        <w:gridCol w:w="2564"/>
      </w:tblGrid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Уровень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Где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Тип проверки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Реакция на ошибку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L1 — Схема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Flink ValidatorOperator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Структурные (null, тип, диапазон)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DLQ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L2 — Бизнес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Flink EnricherOperator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Справочная целостность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Предупреждение / fallback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L3 — Хранилище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Post-load DQ checks (ClickHouse SQL)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Консистентность и полнота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Алерт + отчёт</w:t>
            </w:r>
          </w:p>
        </w:tc>
      </w:tr>
    </w:tbl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</w:r>
    </w:p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  <w:t>Пост-загрузочные проверки L3 запускаются по расписанию раз в 15 минут и включают: DQ-020 — отсутствие дублей по event_id в payment_history; DQ-021 — отсутствие разрывов в версиях платежа (версии должны идти подряд: 1, 2, 3, …); DQ-022 — отсутствие перекрытий в диапазонах effective_from / effective_to.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5.2. Мониторинг (Prometheus + Grafana)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Flink экспортирует метрики через JMX → Prometheus JMX Exporter. Grafana дашборд включает: e2e latency (p50/p95/p99), consumer lag по партициям, DLQ rate (%), checkpoint duration, Flink JVM Heap %, throughput (событий/сек). Конфигурация алертов определена в monitoring/alerts.yml: PipelineHighE2ELatency (gauge pipeline_e2e_latency_seconds &gt; 30 с &gt; 5 мин, CRITICAL), PipelineConsumerLagHigh (&gt; 10 000 сообщений &gt; 5 мин, WARNING), PipelineDLQGrowing (DLQ topic &gt; 0 &gt; 1 мин, INFO), PipelineFlinkCheckpointSlow (checkpoint duration &gt; 25 000 ms, WARNING).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ГЛАВА 6. ТЕСТИРОВАНИЕ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6.1. Стратегия тестирования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Тестирование охватывает три уровня по пирамиде тестирования: unit-тесты (~60% кейсов, быстрые), интеграционные тесты (~30%), системные / нагрузочные тесты (&lt; 10%). Тестовое окружение разворачивается командой docker compose up -d.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6.2. Функциональные тест-кейсы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15 – Функциональные тест-кейсы</w:t>
      </w:r>
    </w:p>
    <w:tbl>
      <w:tblPr>
        <w:tblStyle w:val="TableGrid"/>
        <w:tblW w:w="10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419"/>
        <w:gridCol w:w="3419"/>
        <w:gridCol w:w="3419"/>
      </w:tblGrid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Тест-кейс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TC-A01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Обработка нового платежа: сквозное прохождение через pipeline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TC-A02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Переход статуса → SCD2 новая версия в payment_history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TC-A03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Дедупликация по event_id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TC-A04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Невалидная валюта → DLQ E003 (нет в CH) ¹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TC-B01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Полный жизненный цикл платежа (3 статуса: INITIATED→PROCESSING→COMPLETED)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TC-B02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Контентная дедупликация (хэш)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TC-B03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Отрицательная сумма → DLQ E001 (нет в CH) ¹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TC-B04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Пустой payer_id → обрабатывается нормально (payer_id опционален)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TC-B06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Нулевая сумма → DLQ E001 (нет в CH) ¹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TC-B07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Позднее событие (&gt; watermark) → payments.late [маршрутизация отключена в Beam runtime]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⚠️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xfail</w:t>
            </w:r>
          </w:p>
        </w:tc>
      </w:tr>
    </w:tbl>
    <w:p>
      <w:pPr>
        <w:pStyle w:val="Normal"/>
        <w:spacing w:lineRule="auto" w:line="360" w:before="0" w:after="120"/>
        <w:jc w:val="both"/>
        <w:rPr>
          <w:rFonts w:ascii="Times New Roman" w:hAnsi="Times New Roman"/>
          <w:b/>
          <w:i w:val="false"/>
          <w:sz w:val="24"/>
        </w:rPr>
      </w:pPr>
      <w:r>
        <w:rPr>
          <w:rFonts w:ascii="Times New Roman" w:hAnsi="Times New Roman"/>
          <w:b/>
          <w:i w:val="false"/>
          <w:sz w:val="24"/>
        </w:rPr>
      </w:r>
    </w:p>
    <w:p>
      <w:pPr>
        <w:pStyle w:val="Normal"/>
        <w:spacing w:lineRule="auto" w:line="360" w:before="0" w:after="120"/>
        <w:jc w:val="both"/>
        <w:rPr>
          <w:rFonts w:ascii="Times New Roman" w:hAnsi="Times New Roman"/>
          <w:b/>
          <w:i w:val="false"/>
          <w:sz w:val="24"/>
        </w:rPr>
      </w:pPr>
      <w:r>
        <w:rPr>
          <w:rFonts w:ascii="Times New Roman" w:hAnsi="Times New Roman"/>
          <w:b/>
          <w:i w:val="false"/>
          <w:sz w:val="24"/>
        </w:rPr>
        <w:t>Покрытие требований: 9/10 FR подтверждены тест-кейсами; TC-B07 (late arrivals) — xfail (маршрутизация в payments.late отключена в Beam PyFlink runtime).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ascii="Times New Roman" w:hAnsi="Times New Roman"/>
          <w:b w:val="false"/>
          <w:i w:val="false"/>
          <w:sz w:val="22"/>
        </w:rPr>
        <w:t xml:space="preserve">¹ </w:t>
      </w:r>
      <w:r>
        <w:rPr>
          <w:rFonts w:ascii="Times New Roman" w:hAnsi="Times New Roman"/>
          <w:b w:val="false"/>
          <w:i w:val="false"/>
          <w:sz w:val="22"/>
        </w:rPr>
        <w:t>Факт попадания в DLQ проверяется по отсутствию записи в ClickHouse (payment_current, payment_history). Прямая верификация Kafka-топика payments.dlq требует Kafka-consumer helper и вынесена за рамки прототипа (тест test_in_dlq помечен xfail).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6.3. Нагрузочное тестирование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Стенд: 1 машина, 16 vCPU, 32 GB RAM, SSD NVMe, docker compose. Генератор синтетических событий (payment_generator.py) с логнормальным распределением сумм (μ=7.5, σ=1.2), суточным профилем нагрузки и реалистичным распределением источников (ACQUIRING 60%, MOBILE_APP 25%, …). Полный отчёт с метриками сохранён в results/load_report.json.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16 – Результаты нагрузочного тестирования</w:t>
      </w:r>
    </w:p>
    <w:tbl>
      <w:tblPr>
        <w:tblStyle w:val="TableGrid"/>
        <w:tblW w:w="102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709"/>
        <w:gridCol w:w="1708"/>
        <w:gridCol w:w="1710"/>
        <w:gridCol w:w="1709"/>
        <w:gridCol w:w="1708"/>
        <w:gridCol w:w="1710"/>
      </w:tblGrid>
      <w:tr>
        <w:trPr/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Нагрузка (событий/сек)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p99 latency (с)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Consumer lag (max)</w:t>
            </w:r>
          </w:p>
        </w:tc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Checkpoint (с)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Heap JVM (%)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SLA</w:t>
            </w:r>
          </w:p>
        </w:tc>
      </w:tr>
      <w:tr>
        <w:trPr/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200 (baseline, 1 TM)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4.0 ¹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</w:t>
            </w:r>
          </w:p>
        </w:tc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0.09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✅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OK</w:t>
            </w:r>
          </w:p>
        </w:tc>
      </w:tr>
      <w:tr>
        <w:trPr/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1 000 (ramp-пик, 1 TM) ²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137.0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8 303</w:t>
            </w:r>
          </w:p>
        </w:tc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20.3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❌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SLA нарушен</w:t>
            </w:r>
          </w:p>
        </w:tc>
      </w:tr>
      <w:tr>
        <w:trPr/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489 (TC-C05, 1 TM, async) ³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69.94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3307</w:t>
            </w:r>
          </w:p>
        </w:tc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14.0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❌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SLA нарушен</w:t>
            </w:r>
          </w:p>
        </w:tc>
      </w:tr>
      <w:tr>
        <w:trPr/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488 (TC-C06, 2 TM, async) ³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14.0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128</w:t>
            </w:r>
          </w:p>
        </w:tc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14.7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✅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OK</w:t>
            </w:r>
          </w:p>
        </w:tc>
      </w:tr>
      <w:tr>
        <w:trPr/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866 (TC-C07, 2 TM, async) ³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293.44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20639</w:t>
            </w:r>
          </w:p>
        </w:tc>
        <w:tc>
          <w:tcPr>
            <w:tcW w:w="17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55.3</w:t>
            </w:r>
          </w:p>
        </w:tc>
        <w:tc>
          <w:tcPr>
            <w:tcW w:w="17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❌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ClickHouse cap</w:t>
            </w:r>
          </w:p>
        </w:tc>
      </w:tr>
    </w:tbl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 xml:space="preserve">¹ </w:t>
      </w:r>
      <w:r>
        <w:rPr>
          <w:rFonts w:ascii="Times New Roman" w:hAnsi="Times New Roman"/>
          <w:b w:val="false"/>
          <w:i w:val="false"/>
          <w:sz w:val="24"/>
        </w:rPr>
        <w:t>gauge-приближение из Flink (p50 = 4.0 с, p99 = 4.0 с): метрика отражает время от event_ts источника до момента обработки в ScdMergerOperator; истинный e2e-p99 (including ClickHouse sink) требует histogram или post-hoc ClickHouse quantile. ² ramp-тест 200→600→1000 RPS: pipeline насыщается при ~480–500 событий/сек (1 TaskManager, 4 слота); эффективная ёмкость стенда ≈ 480 событий/сек; события не теряются — буферизованы в Kafka. ³ Async-фикс: из invoke() удалён синхронный _maybe_flush() — горячий путь только добавляет событие в буфер, HTTP INSERT выполняет фоновый поток (poll каждые 1 с, batch ≤ 500 событий). TC-C05 (1 TM, 500 ев/с): p99 = 70 с — 500 &gt; ёмкость 1 TM (~480 ев/с), SLA нарушен. TC-C06 (2 TM, 500 ев/с): p99 = 14.0 с — горизонтальное масштабирование верифицировано, SLA выполнен. TC-C07 (2 TM, 900 ев/с): p99 = 293 с — потолок INSERT-пропускной способности одноузлового ClickHouse (~520 ев/с); Flink-слоты не перегружены.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17 – Результаты теста восстановления (TC-C03)</w:t>
      </w:r>
    </w:p>
    <w:tbl>
      <w:tblPr>
        <w:tblStyle w:val="TableGrid"/>
        <w:tblW w:w="10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564"/>
        <w:gridCol w:w="2564"/>
        <w:gridCol w:w="2564"/>
        <w:gridCol w:w="2564"/>
      </w:tblGrid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Параметр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Измеренное значение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SLA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RTO (время восстановления)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 мин 37 с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≤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 мин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  <w:tr>
        <w:trPr/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RPO (потеря данных)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 событий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</w:t>
            </w:r>
          </w:p>
        </w:tc>
        <w:tc>
          <w:tcPr>
            <w:tcW w:w="25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✅</w:t>
            </w:r>
          </w:p>
        </w:tc>
      </w:tr>
    </w:tbl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6.4. Достоверность результатов и ограничения эксперимента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Нагрузочные измерения выполнялись по воспроизводимому протоколу. Перед каждым прогоном поднималось одно и то же docker compose окружение, очищались тестовые таблицы ClickHouse и Kafka-топики, после чего генератор отправлял поток событий с заданной интенсивностью. Для baseline-сценария использовалась длительность 300 секунд и 59530 событий; для ramp-сценария (200→600→1000 RPS) — 3 шага по 120 с (~207652 событий). Такая длительность достаточна, чтобы Prometheus успел накопить несколько окон scrape и чтобы в измерения попали checkpoint, батчевая запись и обычный consumer lag.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Метрика e2e latency является gauge-derived approximation: фиксирует время от event_ts источника до момента обработки в ScdMergerOperator (до записи в ClickHouse sink). Истинный end-to-end p99 (включая ClickHouse sink latency) требует перехода с gauge на histogram или post-hoc ClickHouse quantile-запроса. Именно p99 выбран в SLA: для платёжной аналитики важна не только типичная задержка, но и поведение системы на редких, но регулярных пиках нагрузки.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18 – Объёмные характеристики проекта и эксперимента</w:t>
      </w:r>
    </w:p>
    <w:tbl>
      <w:tblPr>
        <w:tblStyle w:val="TableGrid"/>
        <w:tblW w:w="10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419"/>
        <w:gridCol w:w="3419"/>
        <w:gridCol w:w="3419"/>
      </w:tblGrid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Показатель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Значение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Размер baseline-прогона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59 530 событий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200 событий/сек × 300 секунд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Размер 5× прогона (ramp)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207 652 событий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ramp 200→600→1000 RPS, пик шаг ~961 ev/s, SLA нарушен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Число Kafka-топиков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4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raw, processed, dlq, late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Основные таблицы ClickHouse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4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history, current, exchange_rates, merchant_dict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Кодовая база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pipeline, generator, tests, infra, monitoring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исходный код и инфраструктура</w:t>
            </w:r>
          </w:p>
        </w:tc>
      </w:tr>
      <w:tr>
        <w:trPr/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Наблюдаемые метрики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latency, lag, checkpoint, heap, DLQ</w:t>
            </w:r>
          </w:p>
        </w:tc>
        <w:tc>
          <w:tcPr>
            <w:tcW w:w="34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Prometheus/Grafana</w:t>
            </w:r>
          </w:p>
        </w:tc>
      </w:tr>
    </w:tbl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</w:r>
    </w:p>
    <w:p>
      <w:pPr>
        <w:pStyle w:val="Normal"/>
        <w:spacing w:lineRule="auto" w:line="360" w:before="0" w:after="120"/>
        <w:ind w:firstLine="709"/>
        <w:jc w:val="both"/>
        <w:rPr>
          <w:rFonts w:ascii="Times New Roman" w:hAnsi="Times New Roman"/>
          <w:b w:val="false"/>
          <w:i w:val="false"/>
          <w:sz w:val="24"/>
        </w:rPr>
      </w:pPr>
      <w:r>
        <w:rPr>
          <w:rFonts w:ascii="Times New Roman" w:hAnsi="Times New Roman"/>
          <w:b w:val="false"/>
          <w:i w:val="false"/>
          <w:sz w:val="24"/>
        </w:rPr>
        <w:t>Основное ограничение эксперимента состоит в том, что он выполнен на одной машине, а не в распределённом production-кластере. Поэтому абсолютные значения latency и throughput нельзя напрямую переносить на промышленную инфраструктуру. Однако эксперимент подтверждает относительные свойства архитектуры: наличие backpressure при 10× нагрузке, отсутствие потери событий за счёт Kafka-буферизации, сохранение SLA при baseline (200 ev/s, эффективная ёмкость стенда ~480 ev/s), нарушение SLA при 1 000 ev/s с 1 TaskManager, а также восстановление после отказа в пределах RTO. Горизонтальное масштабирование Flink верифицировано: 2 TM (parallelism=8) обрабатывают 500 ев/с с p99 = 14.0 с (TC-C06, SLA ✅). Потолок одноузлового ClickHouse — ~520 ев/с INSERT-записи (TC-C07); см. §9.3.8.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Второе ограничение связано с синтетическими данными. Генератор воспроизводит типовые распределения сумм, статусов и источников, но не моделирует все реальные аномалии платёжного домена: массовые возвраты, сложные chargeback-сценарии, изменения валютных курсов внутри короткого окна, а также юридические ограничения по хранению PII. Эти аспекты вынесены в дальнейшее развитие и не снижают основной результат работы, поскольку предметом ВКР является архитектура NRT-доставки и историзации, а не промышленная платёжная платформа целиком.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Для повышения достоверности результатов в дальнейшей работе следует выполнить повторные прогоны на нескольких конфигурациях parallelism, отдельно измерить вклад каждого этапа pipeline в задержку, добавить chaos-тесты для Kafka и ClickHouse, а также проверить replay за полный retention-период. Эти проверки не меняют выбранную архитектуру, но позволят точнее подобрать параметры промышленной эксплуатации: число партиций Kafka, размер батча ClickHouse, интервал checkpoint и объём Flink state.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ЗАКЛЮЧЕНИЕ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В рамках данной работы разработан и протестирован NRT-конвейер передачи платёжных данных с сохранением полной истории изменений. Сформулируем основные результаты.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1. Спроектирована и реализована система на базе Kappa-архитектуры: Apache Kafka (брокер), Apache Flink 1.19 (потоковая обработка, stateful SCD2), ClickHouse 24.x (аналитическое хранилище). Выбор обоснован сравнительным анализом альтернатив (Lambda vs Kappa, Spark SS vs Flink, PostgreSQL vs ClickHouse).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2. Реализована трёхуровневая стратегия дедупликации (Kafka idempotent + Flink MapState + ClickHouse ReplacingMergeTree), обеспечивающая effectively-exactly-once семантику без поддержки точного exactly-once в каждом компоненте.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3. Реализован гибридный паттерн хранения истории SCD Type 2 + append-only event log в ClickHouse. Поддерживаются point-in-time запросы для аудита и полного восстановления состояния любого платежа.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4. Разработаны трёхуровневые DQ-проверки (L1-структурные в реальном времени, L2-бизнес в реальном времени, L3-пост-загрузочные SQL-запросы в ClickHouse) и система мониторинга на базе Prometheus + Grafana с алертами.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5. Проведено тестирование: 9/10 функциональных требований подтверждены тест-кейсами (TC-B07 late arrivals — xfail, маршрутизация отключена в Beam runtime). При baseline-нагрузке 200 событий/сек p99 = 4.0 с (SLA ≤ 30 с). Эффективная ёмкость 1 TM — ~480 событий/сек; при 1 000 событий/сек p99 = 136.97 с (SLA нарушен). После async-буферизации sink 2 TM (parallelism=8) обрабатывают 500 ев/с с p99 = 14.0 с (TC-C06, SLA ✅); потолок одноузлового ClickHouse ~520 ев/с (TC-C07). RTO = 2 мин 37 с, RPO = 0.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Ограничения и направления дальнейшего развития: (1) переход на Avro-сериализацию в продуктивном окружении для снижения размера сообщений на ~85%; (2) добавление хранения raw событий в объектном хранилище (S3/MinIO) для replay за горизонт 30 дней; (3) реализация schema evolution через Confluent Schema Registry; (4) развёртывание в Kubernetes с Flink Operator для автоматического горизонтального масштабирования при превышении consumer lag.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СПИСОК ЛИТЕРАТУРЫ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1. Carbone P., Katsifodimos A., Ewen S., Markl V., Haridi S., Tzoumas K. Apache Flink: Stream and Batch Processing in a Single Engine // IEEE Data Eng. Bull. — 2015. — Vol. 38, No. 4. — P. 28–38.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2. Carbone P., Fóra G., Ewen S., Haridi S., Tzoumas K. Lightweight Asynchronous Snapshots for Distributed Dataflows // arXiv:1506.08603 [cs.DC]. — 2015.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3. Akidau T., Bradshaw R., Chambers C. et al. The Dataflow Model: A Practical Approach to Balancing Correctness, Latency, and Cost // VLDB. — 2015. — Vol. 8, No. 12. — P. 1792–1803.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4. Akidau T., Begoli E., Chernyak S. et al. Watermarks in Stream Processing Systems // VLDB 2021 / OSTI. — 2021.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5. Armbrust M., Das T., Torres J. et al. Structured Streaming: A Declarative API for Real-Time Applications in Apache Spark // ACM SIGMOD. — 2018. — P. 601–613.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6. Saket A., Chandela A., Kalim U. Real-time Event Joining in Practice With Kafka and Flink // arXiv:2410.15533 [cs.SE]. — 2024.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7. Schulze M., Schreiber R., Yatsishin I. et al. ClickHouse — Lightning Fast Analytics for Everyone // VLDB 2024. — Vol. 17. — P. 3731–3744.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8. Huang Y., Zhongming Z. Near-real-time data pipeline using change data capture approach // Theses, Metropolia AMK. — 2024.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9. Seenivasan D., Vaithianathan V. Real-Time Adaptation: Change Data Capture in Modern Computer Architecture // ESP International Journal of Advances in Computer Technology. — 2023. — Vol. 2, No. 4. — P. 12–22.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10. Kovalenko A. Data Replication in Distributed Financial Systems: The CDC Pattern… // Professional Bulletin: IT (Ташкент). — 2026. — No. 1.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11. Zhang Z., Wu Y., Xu H. et al. Streaming View: An Efficient Data Processing Engine for Real-Time Data Warehouse of Alibaba Cloud // VLDB 2025. — Vol. 18.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12. Khan M., Liang X., Mary A. et al. Ensuring Data Accuracy and Uniformity in Real-Time ETL for Streaming Systems // ResearchGate. — 2025.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13. Sahal R., Breslin J.G., Ali M.I. Big Data and Stream Processing Platforms for Industry 4.0 // Journal of Manufacturing Systems. — 2020. — Vol. 54. — P. 173–188.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14. Gürcan F., Berigel M. Real-time Processing of Big Data Streams // IEEE ISDFS. — 2018.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15. Nambiar M., Mundra D. An Overview of Data Warehouse and Data Lake in Modern Enterprise Data Management // MDPI Big Data and Cognitive Computing. — 2022. — Vol. 6, No. 4.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16. Marz N., Warren J. Big Data: Principles and best practices of scalable realtime data systems. — Manning Publications, 2015. — 328 p.</w:t>
      </w:r>
    </w:p>
    <w:p>
      <w:pPr>
        <w:pStyle w:val="Normal"/>
        <w:spacing w:before="0" w:after="80"/>
        <w:ind w:hanging="709" w:start="709"/>
        <w:rPr/>
      </w:pPr>
      <w:r>
        <w:rPr>
          <w:rFonts w:ascii="Times New Roman" w:hAnsi="Times New Roman"/>
          <w:sz w:val="24"/>
        </w:rPr>
        <w:t>17. Kreps J. Questioning the Lambda Architecture // O'Reilly Radar. — 2014. — URL: https://www.oreilly.com/radar/questioning-the-lambda-architecture/ (дата обр. 01.05.2026).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spacing w:before="0" w:after="120"/>
        <w:jc w:val="center"/>
        <w:rPr/>
      </w:pPr>
      <w:r>
        <w:rPr>
          <w:rFonts w:ascii="Times New Roman" w:hAnsi="Times New Roman"/>
          <w:b/>
          <w:sz w:val="32"/>
        </w:rPr>
        <w:t>Приложение А</w:t>
      </w:r>
    </w:p>
    <w:p>
      <w:pPr>
        <w:pStyle w:val="Normal"/>
        <w:keepNext w:val="true"/>
        <w:spacing w:before="240" w:after="120"/>
        <w:rPr/>
      </w:pPr>
      <w:r>
        <w:rPr>
          <w:rFonts w:ascii="Times New Roman" w:hAnsi="Times New Roman"/>
          <w:b/>
          <w:sz w:val="28"/>
        </w:rPr>
        <w:t>Репозиторий GitHub и структура проекта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Исходный код проекта размещён на GitHub (https://github.com/icheve/thesis). Использование ИИ-инструментов: при написании данной работы использовался GitHub Copilot (генерация шаблонного кода операторов, автодополнение SQL-запросов) и Claude (структурирование текста документации). Вся бизнес-логика, архитектурные решения и результаты тестирования разработаны автором самостоятельно.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А.1 – Структура репозитория проекта</w:t>
      </w:r>
    </w:p>
    <w:tbl>
      <w:tblPr>
        <w:tblStyle w:val="TableGrid"/>
        <w:tblW w:w="10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28"/>
        <w:gridCol w:w="5128"/>
      </w:tblGrid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Директория / файл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docker-compose.yml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Полная оркестрация: Kafka, Flink, ClickHouse, Prometheus, Grafana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pipeline/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Исходный код Flink Job (Python/PyFlink)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generator/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Генератор синтетических платёжных событий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infra/clickhouse/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DDL-скрипты создания таблиц ClickHouse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monitoring/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Конфигурация Prometheus и правила алертов Grafana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tests/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Функциональные, интеграционные и нагрузочные тесты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docs/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Проектная документация (markdown), ADR, runbook</w:t>
            </w:r>
          </w:p>
        </w:tc>
      </w:tr>
    </w:tbl>
    <w:p>
      <w:pPr>
        <w:pStyle w:val="Normal"/>
        <w:keepNext w:val="true"/>
        <w:spacing w:before="240" w:after="120"/>
        <w:jc w:val="center"/>
        <w:rPr/>
      </w:pPr>
      <w:r>
        <w:rPr>
          <w:rFonts w:ascii="Times New Roman" w:hAnsi="Times New Roman"/>
          <w:b/>
          <w:sz w:val="32"/>
        </w:rPr>
        <w:t>Приложение Б</w:t>
      </w:r>
    </w:p>
    <w:p>
      <w:pPr>
        <w:pStyle w:val="Normal"/>
        <w:spacing w:lineRule="auto" w:line="360" w:before="0" w:after="120"/>
        <w:jc w:val="start"/>
        <w:rPr/>
      </w:pPr>
      <w:r>
        <w:rPr>
          <w:rFonts w:ascii="Times New Roman" w:hAnsi="Times New Roman"/>
          <w:b/>
          <w:i w:val="false"/>
          <w:sz w:val="24"/>
        </w:rPr>
        <w:t>Таблица Б.1 – Глоссарий</w:t>
      </w:r>
    </w:p>
    <w:tbl>
      <w:tblPr>
        <w:tblStyle w:val="TableGrid"/>
        <w:tblW w:w="10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28"/>
        <w:gridCol w:w="5128"/>
      </w:tblGrid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Термин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Определение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NRT (Near Real-Time)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Режим обработки с задержкой порядка секунд (не минут и не часов)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SCD Type 2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Slowly Changing Dimension Type 2: хранение истории изменений атрибутов через создание новых строк с временными метками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Kappa-архитектура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Архитектурный паттерн потоковых систем: единый путь обработки без отдельного batch-слоя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CDC (Change Data Capture)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Метод захвата изменений непосредственно из транзакционного лога СУБД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Watermark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Механизм Flink для обозначения текущего прогресса event-time: события старше watermark признаются «опоздавшими»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DLQ (Dead Letter Queue)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Специальный Kafka-топик для невалидных или необработанных событий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RocksDB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LSM-дерево, используемое как state backend в Flink для хранения состояния операторов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effectively-exactly-once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Гарантия: событие обрабатывается как минимум один раз, но в хранилище попадает ровно одна запись (за счёт идемпотентности sink)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ReplacingMergeTree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Движок таблицы ClickHouse, удаляющий дублирующиеся строки с одинаковым ключом сортировки при слиянии</w:t>
            </w:r>
          </w:p>
        </w:tc>
      </w:tr>
      <w:tr>
        <w:trPr/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p99 latency</w:t>
            </w:r>
          </w:p>
        </w:tc>
        <w:tc>
          <w:tcPr>
            <w:tcW w:w="51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99-й перцентиль задержки: 99% событий обрабатываются быстрее данного значения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2240" w:h="15840"/>
      <w:pgMar w:left="1417" w:right="567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nsolas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LibreOffice/26.2.3.2$Windows_X86_64 LibreOffice_project/70e089b17412e4cb7773e41413306b17a2328c34</Application>
  <AppVersion>15.0000</AppVersion>
  <Pages>24</Pages>
  <Words>5168</Words>
  <Characters>35799</Characters>
  <CharactersWithSpaces>40502</CharactersWithSpaces>
  <Paragraphs>616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2026-05-20T09:17:11Z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