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before="0" w:after="120"/>
        <w:jc w:val="center"/>
      </w:pPr>
      <w:r>
        <w:rPr>
          <w:rFonts w:ascii="Times New Roman" w:hAnsi="Times New Roman"/>
          <w:b/>
          <w:i w:val="0"/>
          <w:sz w:val="28"/>
        </w:rPr>
        <w:t>НАЦИОНАЛЬНЫЙ ИССЛЕДОВАТЕЛЬСКИЙ УНИВЕРСИТЕТ</w:t>
        <w:br/>
        <w:t>«ВЫСШАЯ ШКОЛА ЭКОНОМИКИ»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sz w:val="26"/>
        </w:rPr>
        <w:t>Факультет компьютерных наук</w:t>
        <w:br/>
        <w:t>Департамент программной инженерии</w:t>
      </w:r>
    </w:p>
    <w:p/>
    <w:p/>
    <w:p>
      <w:pPr>
        <w:spacing w:before="0" w:after="120"/>
        <w:jc w:val="center"/>
      </w:pPr>
      <w:r>
        <w:rPr>
          <w:rFonts w:ascii="Times New Roman" w:hAnsi="Times New Roman"/>
          <w:b/>
          <w:i w:val="0"/>
          <w:sz w:val="32"/>
        </w:rPr>
        <w:t>ВЫПУСКНАЯ КВАЛИФИКАЦИОННАЯ РАБОТА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sz w:val="26"/>
        </w:rPr>
        <w:t>по направлению подготовки 09.04.04 «Программная инженерия»</w:t>
        <w:br/>
        <w:t>образовательная программа «Аналитика больших данных»</w:t>
      </w:r>
    </w:p>
    <w:p/>
    <w:p>
      <w:pPr>
        <w:spacing w:before="0" w:after="120"/>
        <w:jc w:val="center"/>
      </w:pPr>
      <w:r>
        <w:rPr>
          <w:rFonts w:ascii="Times New Roman" w:hAnsi="Times New Roman"/>
          <w:b/>
          <w:i w:val="0"/>
          <w:sz w:val="30"/>
        </w:rPr>
        <w:t>Разработка нагруженного в режиме близкого к реальному времени конвейера данных поставки платёжной информации, с сохранением истории платежей</w:t>
      </w:r>
    </w:p>
    <w:p/>
    <w:p/>
    <w:p>
      <w:pPr>
        <w:jc w:val="right"/>
      </w:pPr>
      <w:r>
        <w:rPr>
          <w:rFonts w:ascii="Times New Roman" w:hAnsi="Times New Roman"/>
          <w:b w:val="0"/>
          <w:i w:val="0"/>
          <w:sz w:val="26"/>
        </w:rPr>
        <w:t>Студент: Ичёв Е.В.</w:t>
        <w:br/>
        <w:t>Образовательная программа: Аналитика больших данных</w:t>
        <w:br/>
        <w:t>Группа: АБД</w:t>
        <w:br/>
        <w:br/>
        <w:t>Научный руководитель: Заигрин Вадим Валерьевич</w:t>
        <w:br/>
      </w:r>
    </w:p>
    <w:p/>
    <w:p/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sz w:val="26"/>
        </w:rPr>
        <w:t>Москва 2026</w:t>
      </w:r>
    </w:p>
    <w:p>
      <w:r>
        <w:br w:type="page"/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32"/>
        </w:rPr>
        <w:t>АННОТАЦИЯ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В рамках данной выпускной квалификационной работы разработана система доставки платёжных данных в режиме, близком к реальному времени (Near Real-Time, NRT), с сохранением полной истории изменений на основе паттерна Slowly Changing Dimension Type 2 (SCD2). Система обеспечивает доставку событий об изменении статуса платежей из OLTP-систем в аналитическое хранилище с задержкой не более 30 секунд (p99) при сохранении полной версионной истории и effectively-exactly-once семантикой обработки на уровне аналитического состояния. Для реализации используется стек: Apache Kafka 3.x (брокер сообщений), Apache Flink 1.19 (потоковая обработка), ClickHouse 24.x (аналитическое хранилище). Выбрана Kappa-архитектура как единый потоковый путь без дублирования кодовой базы. Проведены функциональное и нагрузочное тестирование: при 200 событий/сек p99-задержка составила 4.0 с (SLA ≤ 30 с). Эффективная ёмкость стенда (1 TaskManager, 4 слота) ~480 событий/сек; при 1 000 событий/сек SLA нарушается — события не теряются, буферизуются в Kafka.</w:t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32"/>
        </w:rPr>
        <w:t>СПИСОК КЛЮЧЕВЫХ СЛОВ</w:t>
      </w:r>
    </w:p>
    <w:p>
      <w:pPr>
        <w:spacing w:before="0" w:after="120"/>
      </w:pPr>
      <w:r>
        <w:rPr>
          <w:rFonts w:ascii="Times New Roman" w:hAnsi="Times New Roman"/>
          <w:b w:val="0"/>
          <w:i w:val="0"/>
          <w:sz w:val="26"/>
        </w:rPr>
        <w:t>конвейер данных, потоковая обработка, платёжные данные, Kappa-архитектура, история платежей, SCD Type 2, дедупликация, аналитическое хранилище.</w:t>
      </w:r>
    </w:p>
    <w:p>
      <w:r>
        <w:br w:type="page"/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32"/>
        </w:rPr>
        <w:t>ОГЛАВЛЕНИЕ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>Аннотация</w:t>
        <w:tab/>
        <w:t>2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>Список ключевых слов</w:t>
        <w:tab/>
        <w:t>2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>Введение</w:t>
        <w:tab/>
        <w:t>4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>Глава 1. Обзор литературы и анализ существующих решений</w:t>
        <w:tab/>
        <w:t>6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1.1. Архитектурные паттерны потоковой обработки</w:t>
        <w:tab/>
        <w:t>6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1.2. Обзор инструментов и их сравнение</w:t>
        <w:tab/>
        <w:t>7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1.3. Обзор аналогов и позиционирование работы</w:t>
        <w:tab/>
        <w:t>8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>Глава 2. Постановка задачи и проектирование системы</w:t>
        <w:tab/>
        <w:t>9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2.1. Функциональные и нефункциональные требования</w:t>
        <w:tab/>
        <w:t>9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2.2. Архитектурные решения (ADR)</w:t>
        <w:tab/>
        <w:t>10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2.3. Схема потоков данных и компонентная архитектура</w:t>
        <w:tab/>
        <w:t>11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2.4. Трассировка требований и границы системы</w:t>
        <w:tab/>
        <w:t>12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>Глава 3. Проектирование хранения истории</w:t>
        <w:tab/>
        <w:t>13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3.1. SCD Type 2 и append-only event log</w:t>
        <w:tab/>
        <w:t>13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3.2. Схема данных ClickHouse</w:t>
        <w:tab/>
        <w:t>14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3.3. Корректность восстановления состояния</w:t>
        <w:tab/>
        <w:t>15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>Глава 4. Реализация конвейера</w:t>
        <w:tab/>
        <w:t>15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4.1. Структура проекта и технологический стек</w:t>
        <w:tab/>
        <w:t>15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4.2. Операторы обработки: валидация, обогащение, SCD merge</w:t>
        <w:tab/>
        <w:t>16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4.3. Дедупликация и гарантии exactly-once</w:t>
        <w:tab/>
        <w:t>18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4.4. Отказоустойчивость и эксплуатационные сценарии</w:t>
        <w:tab/>
        <w:t>19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>Глава 5. Качество данных и наблюдаемость</w:t>
        <w:tab/>
        <w:t>19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5.1. Трёхуровневые DQ-проверки</w:t>
        <w:tab/>
        <w:t>19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5.2. Мониторинг (Prometheus + Grafana)</w:t>
        <w:tab/>
        <w:t>20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>Глава 6. Тестирование</w:t>
        <w:tab/>
        <w:t>21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6.1. Стратегия тестирования</w:t>
        <w:tab/>
        <w:t>21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6.2. Функциональные тест-кейсы</w:t>
        <w:tab/>
        <w:t>21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6.3. Нагрузочное тестирование</w:t>
        <w:tab/>
        <w:t>22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6.4. Достоверность результатов и ограничения эксперимента</w:t>
        <w:tab/>
        <w:t>24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>Заключение</w:t>
        <w:tab/>
        <w:t>24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>Список литературы</w:t>
        <w:tab/>
        <w:t>25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>Приложение 1. Репозиторий GitHub и структура проекта</w:t>
        <w:tab/>
        <w:t>27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>Приложение 2. Глоссарий</w:t>
        <w:tab/>
        <w:t>27</w:t>
      </w:r>
    </w:p>
    <w:p>
      <w:r>
        <w:br w:type="page"/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32"/>
        </w:rPr>
        <w:t>ВВЕДЕНИЕ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Платёжные операции в современных финансовых системах генерируют непрерывный поток событий: инициация платежа, авторизация, клиринг, возврат, отмена. Традиционный подход к интеграции — ночная пакетная загрузка (batch ETL) — обеспечивает поступление данных в аналитические системы с задержкой от нескольких часов до суток. Это неприемлемо для задач антифрода, регуляторной отчётности в режиме реального времени и оперативного мониторинга.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Цель данной работы — разработать конвейер данных, который принимает события о платежах из одного или нескольких источников, обрабатывает и нормализует их, поставляет результат потребителям с задержкой не более 30 секунд от момента возникновения события и сохраняет полную историю изменений каждого платежа для аудита и аналитики.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Актуальность работы обусловлена двумя факторами. Во-первых, требования регулятора (Банк России) к оперативности предоставления данных ужесточаются: отчётность по подозрительным операциям должна формироваться в режиме NRT. Во-вторых, классические batch-решения не масштабируются до нужного уровня оперативности без принципиального пересмотра архитектуры.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Практическая и инженерная ценность работы заключается в следующем: разработана и верифицирована композитная стратегия дедупликации на трёх уровнях (Kafka idempotent producer, Flink MapState с TTL, ClickHouse ReplacingMergeTree), обеспечивающая effectively-exactly-once семантику без полного exactly-once в каждом компоненте по отдельности. Реализация объединяет SCD2-хранение истории и потоковую обработку в единой Kappa-архитектуре применительно к платёжным данным.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Структура работы. Глава 1 содержит обзор литературы и анализ аналогов. Глава 2 описывает постановку задачи и архитектурные решения. Глава 3 посвящена проектированию хранения истории. Глава 4 — реализации конвейера. Глава 5 — качеству данных и наблюдаемости. Глава 6 — тестированию и результатам измерений. В Заключении приведены итоги работы и направления дальнейшего развития.</w:t>
      </w:r>
    </w:p>
    <w:p>
      <w:r>
        <w:br w:type="page"/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32"/>
        </w:rPr>
        <w:t>ГЛАВА 1. ОБЗОР ЛИТЕРАТУРЫ И АНАЛИЗ СУЩЕСТВУЮЩИХ РЕШЕНИЙ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1.1. Архитектурные паттерны потоковой обработки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Для построения NRT-систем рассматриваются три основных архитектурных паттерна.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Lambda-архитектура [Marz, 2015] разделяет обработку на два независимых слоя: batch layer (периодический полный пересчёт) и speed layer (обработка в реальном времени). Serving layer объединяет результаты. Недостаток — двойная кодовая база и сложность синхронизации слоёв.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Kappa-архитектура [Kreps, 2014] упрощает Lambda: единственный потоковый слой работает как для «живого» потока, так и для исторического replay. Брокер сообщений хранит лог событий достаточно долго для повторной обработки. Данный паттерн является оптимальным для задач NRT-пайплайнов, где нет необходимости в независимых batch-агрегатах [Zhang et al., 2025].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Event-Driven Pipeline является частным случаем Kappa, ориентированным на обработку отдельных событий без необходимости агрегации по большим окнам. Исследования Gürcan &amp; Berigel [2018] систематизируют lifecycle-модель: ingestion → transport → processing → storing → querying → visualization.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1.2. Обзор инструментов и их сравнение</w:t>
      </w:r>
    </w:p>
    <w:p>
      <w:pPr>
        <w:spacing w:before="0" w:after="120"/>
      </w:pPr>
      <w:r>
        <w:rPr>
          <w:rFonts w:ascii="Times New Roman" w:hAnsi="Times New Roman"/>
          <w:b/>
          <w:i w:val="0"/>
          <w:sz w:val="26"/>
        </w:rPr>
        <w:t>Брокеры сообщений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51"/>
        <w:gridCol w:w="2051"/>
        <w:gridCol w:w="2051"/>
        <w:gridCol w:w="2051"/>
        <w:gridCol w:w="2051"/>
      </w:tblGrid>
      <w:tr>
        <w:tc>
          <w:tcPr>
            <w:tcW w:type="dxa" w:w="1984"/>
          </w:tcPr>
          <w:p>
            <w:r>
              <w:rPr>
                <w:rFonts w:ascii="Times New Roman" w:hAnsi="Times New Roman"/>
                <w:b/>
                <w:sz w:val="22"/>
              </w:rPr>
              <w:t>Инструмент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b/>
                <w:sz w:val="22"/>
              </w:rPr>
              <w:t>Задержка p99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b/>
                <w:sz w:val="22"/>
              </w:rPr>
              <w:t>Replay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/>
                <w:sz w:val="22"/>
              </w:rPr>
              <w:t>Экосистема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/>
                <w:sz w:val="22"/>
              </w:rPr>
              <w:t>Выбор</w:t>
            </w:r>
          </w:p>
        </w:tc>
      </w:tr>
      <w:tr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Apache Kafka 3.x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sz w:val="22"/>
              </w:rPr>
              <w:t>5–15 мс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Нативно (offset reset)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Kafka Connect, Streams, Schema Registry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✅ Выбран</w:t>
            </w:r>
          </w:p>
        </w:tc>
      </w:tr>
      <w:tr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Apache Pulsar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sz w:val="22"/>
              </w:rPr>
              <w:t>5–15 мс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Нативно (tiered storage)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Активная, меньше Kafka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—</w:t>
            </w:r>
          </w:p>
        </w:tc>
      </w:tr>
      <w:tr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RabbitMQ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sz w:val="22"/>
              </w:rPr>
              <w:t>1–5 мс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Ограниченно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Умеренная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—</w:t>
            </w:r>
          </w:p>
        </w:tc>
      </w:tr>
    </w:tbl>
    <w:p/>
    <w:p>
      <w:pPr>
        <w:spacing w:before="0" w:after="120"/>
      </w:pPr>
      <w:r>
        <w:rPr>
          <w:rFonts w:ascii="Times New Roman" w:hAnsi="Times New Roman"/>
          <w:b/>
          <w:i w:val="0"/>
          <w:sz w:val="26"/>
        </w:rPr>
        <w:t>Фреймворки потоковой обработки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51"/>
        <w:gridCol w:w="2051"/>
        <w:gridCol w:w="2051"/>
        <w:gridCol w:w="2051"/>
        <w:gridCol w:w="2051"/>
      </w:tblGrid>
      <w:tr>
        <w:tc>
          <w:tcPr>
            <w:tcW w:type="dxa" w:w="1984"/>
          </w:tcPr>
          <w:p>
            <w:r>
              <w:rPr>
                <w:rFonts w:ascii="Times New Roman" w:hAnsi="Times New Roman"/>
                <w:b/>
                <w:sz w:val="22"/>
              </w:rPr>
              <w:t>Фреймворк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b/>
                <w:sz w:val="22"/>
              </w:rPr>
              <w:t>Stateful API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b/>
                <w:sz w:val="22"/>
              </w:rPr>
              <w:t>Event-time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b/>
                <w:sz w:val="22"/>
              </w:rPr>
              <w:t>State Backend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/>
                <w:sz w:val="22"/>
              </w:rPr>
              <w:t>Выбор</w:t>
            </w:r>
          </w:p>
        </w:tc>
      </w:tr>
      <w:tr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Apache Flink 1.19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KeyedProcessFunction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Watermark + BoundedOutOfOrder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RocksDB (incremental)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✅ Выбран</w:t>
            </w:r>
          </w:p>
        </w:tc>
      </w:tr>
      <w:tr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Spark Structured Streaming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mapGroupsWithState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Watermark (ограниченно)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Disk checkpoint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—</w:t>
            </w:r>
          </w:p>
        </w:tc>
      </w:tr>
      <w:tr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Kafka Streams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KTable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Нет (processing-time)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RocksDB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—</w:t>
            </w:r>
          </w:p>
        </w:tc>
      </w:tr>
    </w:tbl>
    <w:p/>
    <w:p>
      <w:pPr>
        <w:spacing w:before="0" w:after="120"/>
      </w:pPr>
      <w:r>
        <w:rPr>
          <w:rFonts w:ascii="Times New Roman" w:hAnsi="Times New Roman"/>
          <w:b/>
          <w:i w:val="0"/>
          <w:sz w:val="26"/>
        </w:rPr>
        <w:t>Аналитические хранилища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51"/>
        <w:gridCol w:w="2051"/>
        <w:gridCol w:w="2051"/>
        <w:gridCol w:w="2051"/>
        <w:gridCol w:w="2051"/>
      </w:tblGrid>
      <w:tr>
        <w:tc>
          <w:tcPr>
            <w:tcW w:type="dxa" w:w="1984"/>
          </w:tcPr>
          <w:p>
            <w:r>
              <w:rPr>
                <w:rFonts w:ascii="Times New Roman" w:hAnsi="Times New Roman"/>
                <w:b/>
                <w:sz w:val="22"/>
              </w:rPr>
              <w:t>СУБД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b/>
                <w:sz w:val="22"/>
              </w:rPr>
              <w:t>MergeTree / OLAP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b/>
                <w:sz w:val="22"/>
              </w:rPr>
              <w:t>Ingestion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b/>
                <w:sz w:val="22"/>
              </w:rPr>
              <w:t>Аналитика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/>
                <w:sz w:val="22"/>
              </w:rPr>
              <w:t>Выбор</w:t>
            </w:r>
          </w:p>
        </w:tc>
      </w:tr>
      <w:tr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ClickHouse 24.x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ReplacingMergeTree, MergeTree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100K+ rows/s батчами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Векторизованное, SIMD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✅ Выбран</w:t>
            </w:r>
          </w:p>
        </w:tc>
      </w:tr>
      <w:tr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Apache Iceberg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Parquet + catalog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Slower streaming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Spark/Trino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—</w:t>
            </w:r>
          </w:p>
        </w:tc>
      </w:tr>
      <w:tr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PostgreSQL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Нет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Row-by-row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Медленно на OLAP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—</w:t>
            </w:r>
          </w:p>
        </w:tc>
      </w:tr>
    </w:tbl>
    <w:p>
      <w:pPr>
        <w:spacing w:before="240" w:after="120"/>
      </w:pPr>
      <w:r>
        <w:rPr>
          <w:rFonts w:ascii="Times New Roman" w:hAnsi="Times New Roman"/>
          <w:b/>
          <w:sz w:val="28"/>
        </w:rPr>
        <w:t>1.3. Обзор аналогов и позиционирование работы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Ближайшим инженерным аналогом является работа Huang &amp; Zhongming [2024] «Near-real-time data pipeline using change data capture approach»: NRT-пайплайн для регуляторной отчётности по финансовым транзакциям на стеке Debezium → Kafka → Kafka Streams → ClickHouse. Измеренная задержка — 0.6 с среднее, throughput ~30 000 rec/s. Отличие данной работы: использование Apache Flink вместо Kafka Streams для поддержки stateful SCD2-логики (hashmap state, RocksDB — production-расширение), трёхуровневая дедупликация; late arrivals выделены как архитектурное ограничение прототипа.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Saket et al. [2024] описывают продуктовую систему Kafka+Flink для join рекламных событий. Авторы демонстрируют 85% сокращение размера сообщений при переходе с JSON на Avro и снижение стоимости на 40%. Данная работа применяет аналогичный подход в контексте платёжных данных с акцентом на сохранение истории состояний (SCD2), что в указанной работе не рассматривалось.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Kovalenko [2026] анализирует CDC-архитектуру для высоконагруженных платёжных платформ (PostgreSQL+Debezium+Kafka), однако не затрагивает вопросы потоковой трансформации, дедупликации и аналитического хранения с SCD2. Данная работа восполняет этот пробел.</w:t>
      </w:r>
    </w:p>
    <w:p>
      <w:r>
        <w:br w:type="page"/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32"/>
        </w:rPr>
        <w:t>ГЛАВА 2. ПОСТАНОВКА ЗАДАЧИ И ПРОЕКТИРОВАНИЕ СИСТЕМЫ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2.1. Функциональные и нефункциональные требования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Система должна решать следующие функциональные задачи.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1134"/>
          </w:tcPr>
          <w:p>
            <w:r>
              <w:rPr>
                <w:rFonts w:ascii="Times New Roman" w:hAnsi="Times New Roman"/>
                <w:b/>
                <w:sz w:val="22"/>
              </w:rPr>
              <w:t>ID</w:t>
            </w:r>
          </w:p>
        </w:tc>
        <w:tc>
          <w:tcPr>
            <w:tcW w:type="dxa" w:w="7937"/>
          </w:tcPr>
          <w:p>
            <w:r>
              <w:rPr>
                <w:rFonts w:ascii="Times New Roman" w:hAnsi="Times New Roman"/>
                <w:b/>
                <w:sz w:val="22"/>
              </w:rPr>
              <w:t>Требование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FR-01</w:t>
            </w:r>
          </w:p>
        </w:tc>
        <w:tc>
          <w:tcPr>
            <w:tcW w:type="dxa" w:w="7937"/>
          </w:tcPr>
          <w:p>
            <w:r>
              <w:rPr>
                <w:rFonts w:ascii="Times New Roman" w:hAnsi="Times New Roman"/>
                <w:sz w:val="22"/>
              </w:rPr>
              <w:t>Приём платёжных событий из внешних источников (CDC / Kafka-топик)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FR-02</w:t>
            </w:r>
          </w:p>
        </w:tc>
        <w:tc>
          <w:tcPr>
            <w:tcW w:type="dxa" w:w="7937"/>
          </w:tcPr>
          <w:p>
            <w:r>
              <w:rPr>
                <w:rFonts w:ascii="Times New Roman" w:hAnsi="Times New Roman"/>
                <w:sz w:val="22"/>
              </w:rPr>
              <w:t>Валидация каждого события по схеме перед дальнейшей обработкой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FR-03</w:t>
            </w:r>
          </w:p>
        </w:tc>
        <w:tc>
          <w:tcPr>
            <w:tcW w:type="dxa" w:w="7937"/>
          </w:tcPr>
          <w:p>
            <w:r>
              <w:rPr>
                <w:rFonts w:ascii="Times New Roman" w:hAnsi="Times New Roman"/>
                <w:sz w:val="22"/>
              </w:rPr>
              <w:t>Нормализация сумм транзакций к единой базовой валюте (RUB)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FR-04</w:t>
            </w:r>
          </w:p>
        </w:tc>
        <w:tc>
          <w:tcPr>
            <w:tcW w:type="dxa" w:w="7937"/>
          </w:tcPr>
          <w:p>
            <w:r>
              <w:rPr>
                <w:rFonts w:ascii="Times New Roman" w:hAnsi="Times New Roman"/>
                <w:sz w:val="22"/>
              </w:rPr>
              <w:t>Нормализация статусов платежей к единому внутреннему справочнику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FR-05</w:t>
            </w:r>
          </w:p>
        </w:tc>
        <w:tc>
          <w:tcPr>
            <w:tcW w:type="dxa" w:w="7937"/>
          </w:tcPr>
          <w:p>
            <w:r>
              <w:rPr>
                <w:rFonts w:ascii="Times New Roman" w:hAnsi="Times New Roman"/>
                <w:sz w:val="22"/>
              </w:rPr>
              <w:t>Поставка обработанных событий потребителям с задержкой NRT (SLA: p99 ≤ 30 с)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FR-06</w:t>
            </w:r>
          </w:p>
        </w:tc>
        <w:tc>
          <w:tcPr>
            <w:tcW w:type="dxa" w:w="7937"/>
          </w:tcPr>
          <w:p>
            <w:r>
              <w:rPr>
                <w:rFonts w:ascii="Times New Roman" w:hAnsi="Times New Roman"/>
                <w:sz w:val="22"/>
              </w:rPr>
              <w:t>Сохранение истории всех изменений состояния каждого платежа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FR-07</w:t>
            </w:r>
          </w:p>
        </w:tc>
        <w:tc>
          <w:tcPr>
            <w:tcW w:type="dxa" w:w="7937"/>
          </w:tcPr>
          <w:p>
            <w:r>
              <w:rPr>
                <w:rFonts w:ascii="Times New Roman" w:hAnsi="Times New Roman"/>
                <w:sz w:val="22"/>
              </w:rPr>
              <w:t>Поддержка point-in-time запросов: состояние платежа на любой момент времени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FR-08</w:t>
            </w:r>
          </w:p>
        </w:tc>
        <w:tc>
          <w:tcPr>
            <w:tcW w:type="dxa" w:w="7937"/>
          </w:tcPr>
          <w:p>
            <w:r>
              <w:rPr>
                <w:rFonts w:ascii="Times New Roman" w:hAnsi="Times New Roman"/>
                <w:sz w:val="22"/>
              </w:rPr>
              <w:t>Идемпотентная обработка: дублирующееся событие не создаёт дублирующуюся запись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FR-09</w:t>
            </w:r>
          </w:p>
        </w:tc>
        <w:tc>
          <w:tcPr>
            <w:tcW w:type="dxa" w:w="7937"/>
          </w:tcPr>
          <w:p>
            <w:r>
              <w:rPr>
                <w:rFonts w:ascii="Times New Roman" w:hAnsi="Times New Roman"/>
                <w:sz w:val="22"/>
              </w:rPr>
              <w:t>Направление невалидных событий в Dead Letter Queue (DLQ)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FR-10</w:t>
            </w:r>
          </w:p>
        </w:tc>
        <w:tc>
          <w:tcPr>
            <w:tcW w:type="dxa" w:w="7937"/>
          </w:tcPr>
          <w:p>
            <w:r>
              <w:rPr>
                <w:rFonts w:ascii="Times New Roman" w:hAnsi="Times New Roman"/>
                <w:sz w:val="22"/>
              </w:rPr>
              <w:t>Предоставление метрик задержки и пропускной способности</w:t>
            </w:r>
          </w:p>
        </w:tc>
      </w:tr>
    </w:tbl>
    <w:p/>
    <w:p>
      <w:pPr>
        <w:spacing w:before="0" w:after="120"/>
      </w:pPr>
      <w:r>
        <w:rPr>
          <w:rFonts w:ascii="Times New Roman" w:hAnsi="Times New Roman"/>
          <w:b/>
          <w:i w:val="0"/>
          <w:sz w:val="26"/>
        </w:rPr>
        <w:t>Нефункциональные требования: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1134"/>
          </w:tcPr>
          <w:p>
            <w:r>
              <w:rPr>
                <w:rFonts w:ascii="Times New Roman" w:hAnsi="Times New Roman"/>
                <w:b/>
                <w:sz w:val="22"/>
              </w:rPr>
              <w:t>ID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/>
                <w:sz w:val="22"/>
              </w:rPr>
              <w:t>Требование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b/>
                <w:sz w:val="22"/>
              </w:rPr>
              <w:t>Целевое значение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NFR-01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2"/>
              </w:rPr>
              <w:t>Задержка e2e (p99)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≤ 30 с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NFR-02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2"/>
              </w:rPr>
              <w:t>Пропускная способность (baseline)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≥ 200 событий/сек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NFR-03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2"/>
              </w:rPr>
              <w:t>Потеря данных при отказе компонента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0 событий (RPO = 0)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NFR-04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2"/>
              </w:rPr>
              <w:t>Время восстановления после отказа (RTO)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≤ 5 минут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NFR-05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2"/>
              </w:rPr>
              <w:t>Доля событий в DLQ при нормальной работе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&lt; 1%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NFR-06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2"/>
              </w:rPr>
              <w:t>Heap JVM Flink при baseline-нагрузке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&lt; 80%</w:t>
            </w:r>
          </w:p>
        </w:tc>
      </w:tr>
    </w:tbl>
    <w:p>
      <w:pPr>
        <w:spacing w:before="0" w:after="120"/>
      </w:pPr>
      <w:r>
        <w:rPr>
          <w:rFonts w:ascii="Times New Roman" w:hAnsi="Times New Roman"/>
          <w:b/>
          <w:i w:val="0"/>
          <w:sz w:val="26"/>
        </w:rPr>
        <w:t>Границы системы и допущения: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Разрабатываемая система покрывает путь от поступления платёжного события в Kafka до записи обработанного состояния в аналитическое хранилище ClickHouse и публикации результата для downstream-потребителей. В границы работы не включены фронтальные платёжные сервисы, авторизация банковских операций, расчёт комиссий и юридически значимая обработка персональных данных. Эти компоненты рассматриваются как внешние источники или потребители событий.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Источник данных моделируется синтетическим генератором и CDC/Kafka producer. Такое допущение позволяет воспроизводимо проверять архитектурные свойства конвейера: задержку, идемпотентность, построение истории и поведение при перегрузке. Для промышленного внедрения генератор заменяется Debezium-коннектором или прикладным producer, при этом контракт входного события сохраняется.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Система проектируется для аналитического и аудиторского контура, а не для изменения первичных транзакций в OLTP-системе. Поэтому приоритетами являются полнота истории, воспроизводимость состояния на момент времени и отсутствие потери событий. Небольшая дополнительная задержка из-за checkpoint, батчевой записи и watermark является допустимым компромиссом, если выполняется SLA p99 ≤ 30 секунд.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2.2. Архитектурные решения (ADR)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ADR-001: Выбор архитектурного паттерна. Выбрана Kappa-архитектура (единый потоковый путь) вместо Lambda. Мотивация: объём данных (≤ 200 событий/сек, 30-дневный Kafka retention ≈ 500 ГБ) допускает replay без batch-слоя; late arrivals предусмотрены архитектурой (watermark + side output), но в текущей реализации отключены (Beam PyFlink runtime не поддерживает ctx.timer_service()); снижается операционная сложность.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ADR-002: Выбор фреймворка потоковой обработки. Выбран Apache Flink 1.19. Ключевые аргументы: KeyedProcessFunction с hashmap state backend (прототип; RocksDB — production-расширение) позволяет хранить состояние per payment_id; нативная поддержка event-time watermarks для корректной обработки out-of-order событий; алгоритм ABS (Carbone et al., 2015) обеспечивает неблокирующие checkpoint без паузы потока.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ADR-003: Паттерн хранения истории. Выбран гибридный подход SCD Type 2 + Сохраняемый append-only лог событий: таблица payment_history (ReplacingMergeTree(processed_at)) как источник истины для аудита и replay; таблица payment_current (ReplacingMergeTree) как оптимизированное представление текущего состояния для аналитических запросов.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ADR-004: Стратегия дедупликации. Реализована трёхуровневая композитная стратегия: L1 — Kafka idempotent producer (sequence number); L2 — Flink MapState[event_id → ts] с TTL 24 часа + контентный SHA-256 хэш значимых полей (field_hash); L3 — ClickHouse ReplacingMergeTree(version) для payment_current. payment_history — ReplacingMergeTree(processed_at), дедупликация по ключу (payment_id, source_system, version), чтобы защититься от повторных INSERT при replay.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2.3. Схема потоков данных и компонентная архитектура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Система состоит из следующих основных компонентов: генератор событий / CDC (Debezium), Apache Kafka (брокер, 4 топика: payments.raw, payments.processed, payments.dlq, payments.late), Apache Flink Job (обработчик), ClickHouse (хранилище), Prometheus + Grafana (мониторинг).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Поток обработки одного события: источник → CDC/Kafka Producer → топик payments.raw → Flink ValidatorOperator (валидация, DLQ при ошибке) → Flink EnricherOperator (нормализация валюты, статуса, обогащение мерчантом) → keyBy(payment_id + source_system) → Flink ScdMergerOperator (stateful, hashmap state) → параллельно в payments.processed (Kafka) и payment_current + payment_history (ClickHouse).</w:t>
      </w:r>
    </w:p>
    <w:p>
      <w:pPr>
        <w:spacing w:before="0" w:after="120"/>
      </w:pPr>
      <w:r>
        <w:rPr>
          <w:rFonts w:ascii="Times New Roman" w:hAnsi="Times New Roman"/>
          <w:b/>
          <w:i w:val="0"/>
          <w:sz w:val="26"/>
        </w:rPr>
        <w:t>Топология Kafka-топиков: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c>
          <w:tcPr>
            <w:tcW w:type="dxa" w:w="2551"/>
          </w:tcPr>
          <w:p>
            <w:r>
              <w:rPr>
                <w:rFonts w:ascii="Times New Roman" w:hAnsi="Times New Roman"/>
                <w:b/>
                <w:sz w:val="22"/>
              </w:rPr>
              <w:t>Топик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b/>
                <w:sz w:val="22"/>
              </w:rPr>
              <w:t>Назначение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b/>
                <w:sz w:val="22"/>
              </w:rPr>
              <w:t>Partitions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/>
                <w:sz w:val="22"/>
              </w:rPr>
              <w:t>Retention</w:t>
            </w:r>
          </w:p>
        </w:tc>
      </w:tr>
      <w:tr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payments.raw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Сырые события от источников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sz w:val="22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3 дня</w:t>
            </w:r>
          </w:p>
        </w:tc>
      </w:tr>
      <w:tr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payments.processed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Обработанные события для downstream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1 день</w:t>
            </w:r>
          </w:p>
        </w:tc>
      </w:tr>
      <w:tr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payments.dlq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Невалидные / необработанные события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30 дней</w:t>
            </w:r>
          </w:p>
        </w:tc>
      </w:tr>
      <w:tr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payments.late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Поздние события (&gt; watermark)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30 дней</w:t>
            </w:r>
          </w:p>
        </w:tc>
      </w:tr>
    </w:tbl>
    <w:p>
      <w:pPr>
        <w:spacing w:before="240" w:after="120"/>
      </w:pPr>
      <w:r>
        <w:rPr>
          <w:rFonts w:ascii="Times New Roman" w:hAnsi="Times New Roman"/>
          <w:b/>
          <w:sz w:val="28"/>
        </w:rPr>
        <w:t>2.4. Трассировка требований и границы системы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Для программной ВКР важно показать не только список требований, но и связь между постановкой задачи, реализованными компонентами и проверками. В Таблице ниже приведена матрица трассировки: она показывает, каким модулем закрывается каждое ключевое требование и каким тестом или метрикой оно подтверждается.</w:t>
      </w:r>
    </w:p>
    <w:p>
      <w:pPr>
        <w:spacing w:before="0" w:after="120"/>
      </w:pPr>
      <w:r>
        <w:rPr>
          <w:rFonts w:ascii="Times New Roman" w:hAnsi="Times New Roman"/>
          <w:b/>
          <w:i w:val="0"/>
          <w:sz w:val="24"/>
        </w:rPr>
        <w:t>Таблица 1 – Трассировка требований к реализации и проверкам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1701"/>
          </w:tcPr>
          <w:p>
            <w:r>
              <w:rPr>
                <w:rFonts w:ascii="Times New Roman" w:hAnsi="Times New Roman"/>
                <w:b/>
                <w:sz w:val="22"/>
              </w:rPr>
              <w:t>Требование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b/>
                <w:sz w:val="22"/>
              </w:rPr>
              <w:t>Реализация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b/>
                <w:sz w:val="22"/>
              </w:rPr>
              <w:t>Подтверждение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FR-01, FR-05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sz w:val="22"/>
              </w:rPr>
              <w:t>KafkaSource, payments.raw, payments.processed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sz w:val="22"/>
              </w:rPr>
              <w:t>TC-A01, p99 latency в load_report.json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FR-02, FR-09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sz w:val="22"/>
              </w:rPr>
              <w:t>ValidatorOperator, DLQ side output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sz w:val="22"/>
              </w:rPr>
              <w:t>TC-A04, TC-B03, TC-B06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FR-03, FR-04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sz w:val="22"/>
              </w:rPr>
              <w:t>EnricherOperator, справочники валют и статусов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sz w:val="22"/>
              </w:rPr>
              <w:t>TC-A01, DQ-026, DQ-027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FR-06, FR-07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sz w:val="22"/>
              </w:rPr>
              <w:t>payment_history, effective_from/effective_to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sz w:val="22"/>
              </w:rPr>
              <w:t>TC-A02, TC-B01, DQ-022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FR-08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sz w:val="22"/>
              </w:rPr>
              <w:t>Kafka idempotent producer, MapState, SHA-256 hash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sz w:val="22"/>
              </w:rPr>
              <w:t>TC-A03, TC-B02, DQ-020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FR-10, NFR-01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sz w:val="22"/>
              </w:rPr>
              <w:t>Prometheus metrics, alerts.yml, Grafana dashboard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sz w:val="22"/>
              </w:rPr>
              <w:t>p50/p95/p99, consumer lag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NFR-03, NFR-04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sz w:val="22"/>
              </w:rPr>
              <w:t>Kafka replay, Flink checkpoints, idempotent sink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sz w:val="22"/>
              </w:rPr>
              <w:t>TC-C03, RPO/RTO из отчёта</w:t>
            </w:r>
          </w:p>
        </w:tc>
      </w:tr>
    </w:tbl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Матрица также фиксирует проверяемость результата: если требование не имеет связанного теста, метрики или DQ-проверки, оно считается неподтверждённым. Такой подход снижает риск декларативности и делает результаты работы воспроизводимыми: функциональные требования проверяются pytest-сценариями, а нефункциональные — нагрузочным тестом и метриками Prometheus.</w:t>
      </w:r>
    </w:p>
    <w:p>
      <w:r>
        <w:br w:type="page"/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32"/>
        </w:rPr>
        <w:t>ГЛАВА 3. ПРОЕКТИРОВАНИЕ ХРАНЕНИЯ ИСТОРИИ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3.1. SCD Type 2 и Append-only Event Log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Для хранения истории платежей применяется гибридный подход, объединяющий два представления одних данных.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c>
          <w:tcPr>
            <w:tcW w:type="dxa" w:w="1984"/>
          </w:tcPr>
          <w:p>
            <w:r>
              <w:rPr>
                <w:rFonts w:ascii="Times New Roman" w:hAnsi="Times New Roman"/>
                <w:b/>
                <w:sz w:val="22"/>
              </w:rPr>
              <w:t>Таблица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b/>
                <w:sz w:val="22"/>
              </w:rPr>
              <w:t>Паттерн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b/>
                <w:sz w:val="22"/>
              </w:rPr>
              <w:t>Назначение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b/>
                <w:sz w:val="22"/>
              </w:rPr>
              <w:t>Ключевые запросы</w:t>
            </w:r>
          </w:p>
        </w:tc>
      </w:tr>
      <w:tr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payment_history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Append-only log (SCD Type 2)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Полная история всех версий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Point-in-time, аудит, replay</w:t>
            </w:r>
          </w:p>
        </w:tc>
      </w:tr>
      <w:tr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payment_current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ReplacingMergeTree (последняя версия)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Текущее состояние платежа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Фильтрация, агрегации по актуальным данным</w:t>
            </w:r>
          </w:p>
        </w:tc>
      </w:tr>
    </w:tbl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Пример жизненного цикла платежа PAY-001 с четырьмя событиями (CREATED → AUTHORIZED → CLEARED → REFUNDED) формирует 4 строки в payment_history с полями effective_from / effective_to: каждая версия «закрывается» при наступлении следующего события, effective_to = NULL означает текущую версию.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3.2. Схема данных ClickHouse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Таблица payment_history содержит 22 поля. Ключевые поля схемы: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2"/>
              </w:rPr>
              <w:t>Поле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b/>
                <w:sz w:val="22"/>
              </w:rPr>
              <w:t>Тип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b/>
                <w:sz w:val="22"/>
              </w:rPr>
              <w:t>Описание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payment_id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String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Бизнес-ключ платежа из источника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source_system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String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Код источника (ACQUIRING, MOBILE_APP, …)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version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UInt64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Монотонно возрастающий счётчик версий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event_id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String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UUID события (для дедупликации)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status_normalized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LowCardinality(String)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Статус во внутренней номенклатуре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effective_from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DateTime64(3)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Начало действия версии (= event_ts)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effective_to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DateTime64(3) NULL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Конец действия версии (NULL = текущая)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amount_rub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Decimal(18,4)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Сумма в RUB по курсу на момент event_ts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field_hash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String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SHA-256 значимых полей (payment_id, status_normalized, event_type, amount_rub, merchant_id, currency_original) — хранится в Flink state и в payment_history для контентной дедупликации L2</w:t>
            </w:r>
          </w:p>
        </w:tc>
      </w:tr>
    </w:tbl>
    <w:p>
      <w:pPr>
        <w:spacing w:before="240" w:after="120"/>
      </w:pPr>
      <w:r>
        <w:rPr>
          <w:rFonts w:ascii="Times New Roman" w:hAnsi="Times New Roman"/>
          <w:b/>
          <w:sz w:val="28"/>
        </w:rPr>
        <w:t>3.3. Корректность восстановления состояния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Корректность SCD2-хранения определяется инвариантом: для каждой пары (payment_id, source_system) существует упорядоченная последовательность версий v1, v2, ..., vn, где effective_from версии vi равен event_ts события, создавшего эту версию, а effective_to версии vi равен effective_from следующей версии vi+1. У последней версии effective_to = NULL. При выполнении этого инварианта состояние платежа на момент времени T восстанавливается запросом по условию effective_from ≤ T &lt; effective_to либо effective_to IS NULL для текущей версии.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В реализации инвариант поддерживается оператором ScdMergerOperator. Оператор обрабатывает события в keyed-потоке по ключу payment_id + source_system, поэтому состояние одного платежа обновляется последовательно внутри одной логической партиции. При появлении нового значимого состояния оператор сначала эмитирует закрывающую запись для предыдущей версии с effective_to = event_ts нового события, а затем создаёт новую открытую запись. Наличие двух физических записей в append-only таблице является осознанным компромиссом: история остаётся неизменяемой, а логическое состояние восстанавливается фильтрацией по максимальной версии и диапазонам действия.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Поздние события предусмотрены архитектурой системы, но маршрутизация в payments.late отключена в текущей реализации (Beam PyFlink runtime не поддерживает ctx.timer_service()): все события обрабатываются независимо от watermark. Такое решение делает основной поток предсказуемым. В промышленном контуре маршрутизация late arrivals должна быть реализована через native Flink (Java/Scala) или отдельную процедуру replay / batch-correction с ручным контролем.</w:t>
      </w:r>
    </w:p>
    <w:p>
      <w:pPr>
        <w:spacing w:before="0" w:after="120"/>
      </w:pPr>
      <w:r>
        <w:rPr>
          <w:rFonts w:ascii="Times New Roman" w:hAnsi="Times New Roman"/>
          <w:b/>
          <w:i w:val="0"/>
          <w:sz w:val="26"/>
        </w:rPr>
        <w:t>Пример point-in-time запроса к истории платежа:</w:t>
      </w:r>
    </w:p>
    <w:p>
      <w:pPr>
        <w:spacing w:after="120"/>
      </w:pPr>
      <w:r>
        <w:rPr>
          <w:rFonts w:ascii="Consolas" w:hAnsi="Consolas"/>
          <w:sz w:val="20"/>
        </w:rPr>
        <w:t>SELECT *</w:t>
        <w:br/>
        <w:t>FROM payments.payment_history</w:t>
        <w:br/>
        <w:t>WHERE payment_id = 'PAY-001'</w:t>
        <w:br/>
        <w:t xml:space="preserve">  AND source_system = 'ACQUIRING'</w:t>
        <w:br/>
        <w:t xml:space="preserve">  AND effective_from &lt;= toDateTime64('2026-04-30 12:00:00', 3)</w:t>
        <w:br/>
        <w:t xml:space="preserve">  AND (effective_to &gt; toDateTime64('2026-04-30 12:00:00', 3)</w:t>
        <w:br/>
        <w:t xml:space="preserve">       OR effective_to IS NULL)</w:t>
        <w:br/>
        <w:t>ORDER BY version DESC</w:t>
        <w:br/>
        <w:t>LIMIT 1;</w:t>
      </w:r>
    </w:p>
    <w:p>
      <w:r>
        <w:br w:type="page"/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32"/>
        </w:rPr>
        <w:t>ГЛАВА 4. РЕАЛИЗАЦИЯ КОНВЕЙЕРА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4.1. Структура проекта и технологический стек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Конвейер реализован на языке Python (PyFlink 1.19) с использованием DataStream API. Структура проекта: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3402"/>
          </w:tcPr>
          <w:p>
            <w:r>
              <w:rPr>
                <w:rFonts w:ascii="Times New Roman" w:hAnsi="Times New Roman"/>
                <w:b/>
                <w:sz w:val="22"/>
              </w:rPr>
              <w:t>Модуль</w:t>
            </w:r>
          </w:p>
        </w:tc>
        <w:tc>
          <w:tcPr>
            <w:tcW w:type="dxa" w:w="6236"/>
          </w:tcPr>
          <w:p>
            <w:r>
              <w:rPr>
                <w:rFonts w:ascii="Times New Roman" w:hAnsi="Times New Roman"/>
                <w:b/>
                <w:sz w:val="22"/>
              </w:rPr>
              <w:t>Назначение</w:t>
            </w:r>
          </w:p>
        </w:tc>
      </w:tr>
      <w:tr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pipeline/main.py</w:t>
            </w:r>
          </w:p>
        </w:tc>
        <w:tc>
          <w:tcPr>
            <w:tcW w:type="dxa" w:w="6236"/>
          </w:tcPr>
          <w:p>
            <w:r>
              <w:rPr>
                <w:rFonts w:ascii="Times New Roman" w:hAnsi="Times New Roman"/>
                <w:sz w:val="22"/>
              </w:rPr>
              <w:t>Точка входа, определение Flink job, топология операторов</w:t>
            </w:r>
          </w:p>
        </w:tc>
      </w:tr>
      <w:tr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pipeline/config.py</w:t>
            </w:r>
          </w:p>
        </w:tc>
        <w:tc>
          <w:tcPr>
            <w:tcW w:type="dxa" w:w="6236"/>
          </w:tcPr>
          <w:p>
            <w:r>
              <w:rPr>
                <w:rFonts w:ascii="Times New Roman" w:hAnsi="Times New Roman"/>
                <w:sz w:val="22"/>
              </w:rPr>
              <w:t>Конфигурация (Kafka, ClickHouse, Flink)</w:t>
            </w:r>
          </w:p>
        </w:tc>
      </w:tr>
      <w:tr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pipeline/models/payment_event.py</w:t>
            </w:r>
          </w:p>
        </w:tc>
        <w:tc>
          <w:tcPr>
            <w:tcW w:type="dxa" w:w="6236"/>
          </w:tcPr>
          <w:p>
            <w:r>
              <w:rPr>
                <w:rFonts w:ascii="Times New Roman" w:hAnsi="Times New Roman"/>
                <w:sz w:val="22"/>
              </w:rPr>
              <w:t>Входная модель (из Kafka payments.raw)</w:t>
            </w:r>
          </w:p>
        </w:tc>
      </w:tr>
      <w:tr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pipeline/models/payment_processed.py</w:t>
            </w:r>
          </w:p>
        </w:tc>
        <w:tc>
          <w:tcPr>
            <w:tcW w:type="dxa" w:w="6236"/>
          </w:tcPr>
          <w:p>
            <w:r>
              <w:rPr>
                <w:rFonts w:ascii="Times New Roman" w:hAnsi="Times New Roman"/>
                <w:sz w:val="22"/>
              </w:rPr>
              <w:t>Выходная модель (в Kafka payments.processed)</w:t>
            </w:r>
          </w:p>
        </w:tc>
      </w:tr>
      <w:tr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pipeline/operators/validator.py</w:t>
            </w:r>
          </w:p>
        </w:tc>
        <w:tc>
          <w:tcPr>
            <w:tcW w:type="dxa" w:w="6236"/>
          </w:tcPr>
          <w:p>
            <w:r>
              <w:rPr>
                <w:rFonts w:ascii="Times New Roman" w:hAnsi="Times New Roman"/>
                <w:sz w:val="22"/>
              </w:rPr>
              <w:t>Валидация входящих событий (L1-проверки)</w:t>
            </w:r>
          </w:p>
        </w:tc>
      </w:tr>
      <w:tr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pipeline/operators/enricher.py</w:t>
            </w:r>
          </w:p>
        </w:tc>
        <w:tc>
          <w:tcPr>
            <w:tcW w:type="dxa" w:w="6236"/>
          </w:tcPr>
          <w:p>
            <w:r>
              <w:rPr>
                <w:rFonts w:ascii="Times New Roman" w:hAnsi="Times New Roman"/>
                <w:sz w:val="22"/>
              </w:rPr>
              <w:t>Обогащение: курсы валют, справочник мерчантов</w:t>
            </w:r>
          </w:p>
        </w:tc>
      </w:tr>
      <w:tr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pipeline/operators/scd_merger.py</w:t>
            </w:r>
          </w:p>
        </w:tc>
        <w:tc>
          <w:tcPr>
            <w:tcW w:type="dxa" w:w="6236"/>
          </w:tcPr>
          <w:p>
            <w:r>
              <w:rPr>
                <w:rFonts w:ascii="Times New Roman" w:hAnsi="Times New Roman"/>
                <w:sz w:val="22"/>
              </w:rPr>
              <w:t>Stateful SCD Type 2 merge (KeyedProcessFunction, hashmap state backend)</w:t>
            </w:r>
          </w:p>
        </w:tc>
      </w:tr>
      <w:tr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pipeline/sinks/clickhouse_sink.py</w:t>
            </w:r>
          </w:p>
        </w:tc>
        <w:tc>
          <w:tcPr>
            <w:tcW w:type="dxa" w:w="6236"/>
          </w:tcPr>
          <w:p>
            <w:r>
              <w:rPr>
                <w:rFonts w:ascii="Times New Roman" w:hAnsi="Times New Roman"/>
                <w:sz w:val="22"/>
              </w:rPr>
              <w:t>Батчевая запись в ClickHouse</w:t>
            </w:r>
          </w:p>
        </w:tc>
      </w:tr>
      <w:tr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pipeline/sinks/kafka_sink.py</w:t>
            </w:r>
          </w:p>
        </w:tc>
        <w:tc>
          <w:tcPr>
            <w:tcW w:type="dxa" w:w="6236"/>
          </w:tcPr>
          <w:p>
            <w:r>
              <w:rPr>
                <w:rFonts w:ascii="Times New Roman" w:hAnsi="Times New Roman"/>
                <w:sz w:val="22"/>
              </w:rPr>
              <w:t>Запись в payments.processed и payments.dlq</w:t>
            </w:r>
          </w:p>
        </w:tc>
      </w:tr>
      <w:tr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generator/payment_generator.py</w:t>
            </w:r>
          </w:p>
        </w:tc>
        <w:tc>
          <w:tcPr>
            <w:tcW w:type="dxa" w:w="6236"/>
          </w:tcPr>
          <w:p>
            <w:r>
              <w:rPr>
                <w:rFonts w:ascii="Times New Roman" w:hAnsi="Times New Roman"/>
                <w:sz w:val="22"/>
              </w:rPr>
              <w:t>Генератор синтетических платёжных событий</w:t>
            </w:r>
          </w:p>
        </w:tc>
      </w:tr>
      <w:tr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infra/clickhouse/init.sql</w:t>
            </w:r>
          </w:p>
        </w:tc>
        <w:tc>
          <w:tcPr>
            <w:tcW w:type="dxa" w:w="6236"/>
          </w:tcPr>
          <w:p>
            <w:r>
              <w:rPr>
                <w:rFonts w:ascii="Times New Roman" w:hAnsi="Times New Roman"/>
                <w:sz w:val="22"/>
              </w:rPr>
              <w:t>DDL: создание таблиц payment_history, payment_current</w:t>
            </w:r>
          </w:p>
        </w:tc>
      </w:tr>
      <w:tr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docker-compose.yml</w:t>
            </w:r>
          </w:p>
        </w:tc>
        <w:tc>
          <w:tcPr>
            <w:tcW w:type="dxa" w:w="6236"/>
          </w:tcPr>
          <w:p>
            <w:r>
              <w:rPr>
                <w:rFonts w:ascii="Times New Roman" w:hAnsi="Times New Roman"/>
                <w:sz w:val="22"/>
              </w:rPr>
              <w:t>Оркестрация всех сервисов</w:t>
            </w:r>
          </w:p>
        </w:tc>
      </w:tr>
    </w:tbl>
    <w:p>
      <w:pPr>
        <w:spacing w:before="0" w:after="120"/>
      </w:pPr>
      <w:r>
        <w:rPr>
          <w:rFonts w:ascii="Times New Roman" w:hAnsi="Times New Roman"/>
          <w:b/>
          <w:i w:val="0"/>
          <w:sz w:val="26"/>
        </w:rPr>
        <w:t>Технологический стек Flink Job: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2835"/>
          </w:tcPr>
          <w:p>
            <w:r>
              <w:rPr>
                <w:rFonts w:ascii="Times New Roman" w:hAnsi="Times New Roman"/>
                <w:b/>
                <w:sz w:val="22"/>
              </w:rPr>
              <w:t>Аспект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b/>
                <w:sz w:val="22"/>
              </w:rPr>
              <w:t>Решение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Язык реализации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2"/>
              </w:rPr>
              <w:t>Python (PyFlink 1.19)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Модель выполнения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2"/>
              </w:rPr>
              <w:t>DataStream API — нативный потоковый режим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State backend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2"/>
              </w:rPr>
              <w:t>hashmap (dev / прототип); RocksDB — production-расширение (не реализовано)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Checkpoint интервал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2"/>
              </w:rPr>
              <w:t>30 секунд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Watermark стратегия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2"/>
              </w:rPr>
              <w:t>BoundedOutOfOrdernessWatermark(10 мин) по event_ts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Параллелизм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2"/>
              </w:rPr>
              <w:t>Настраивается через --parallelism (default: 4)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Гарантии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2"/>
              </w:rPr>
              <w:t>At-least-once + идемпотентный sink = effectively exactly-once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Сериализация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2"/>
              </w:rPr>
              <w:t>JSON (SimpleStringSchema) — реализовано; Avro + Schema Registry — production-расширение (в прототипе не реализовано)</w:t>
            </w:r>
          </w:p>
        </w:tc>
      </w:tr>
    </w:tbl>
    <w:p>
      <w:pPr>
        <w:spacing w:before="240" w:after="120"/>
      </w:pPr>
      <w:r>
        <w:rPr>
          <w:rFonts w:ascii="Times New Roman" w:hAnsi="Times New Roman"/>
          <w:b/>
          <w:sz w:val="28"/>
        </w:rPr>
        <w:t>4.2. Операторы обработки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ValidatorOperator (stateless map + split) проверяет структурные инварианты: NOT_NULL (DQ-001), NOT_BLANK (DQ-002), VALID_CURRENCY ISO 4217 (DQ-003), POSITIVE_AMOUNT &gt; 0 (DQ-005), VALID_TIMESTAMP в диапазоне [-30 дней; +60 с] (DQ-006). При нарушении событие направляется в DLQ с кодом ошибки.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EnricherOperator (stateless map + TTL-cache) нормализует валюту к RUB по курсу на момент event_ts, маппирует статус источника к внутренней номенклатуре (PENDING, AUTHORIZED, COMPLETED, FAILED, REFUNDED, CANCELLED), обогащает событие именем и категорией мерчанта из справочника.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ScdMergerOperator (stateful KeyedProcessFunction, ключ = payment_id + source_system) загружает текущую версию из hashmap state, вычисляет SHA-256 хэш значимых полей (status_normalized, event_type, amount_rub), при совпадении хэша событие признаётся дублем и пропускается (дедупликация L2+L3). При изменении хэша создаётся новая версия: version++, effective_from = event_ts, предыдущей версии устанавливается effective_to = event_ts.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4.3. Дедупликация и гарантии exactly-once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Ни один компонент стека не обеспечивает exactly-once сквозь всю цепочку. Реализована композитная стратегия из трёх уровней: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850"/>
          </w:tcPr>
          <w:p>
            <w:r>
              <w:rPr>
                <w:rFonts w:ascii="Times New Roman" w:hAnsi="Times New Roman"/>
                <w:b/>
                <w:sz w:val="22"/>
              </w:rPr>
              <w:t>Уровень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b/>
                <w:sz w:val="22"/>
              </w:rPr>
              <w:t>Механизм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b/>
                <w:sz w:val="22"/>
              </w:rPr>
              <w:t>Охват</w:t>
            </w:r>
          </w:p>
        </w:tc>
      </w:tr>
      <w:tr>
        <w:tc>
          <w:tcPr>
            <w:tcW w:type="dxa" w:w="850"/>
          </w:tcPr>
          <w:p>
            <w:r>
              <w:rPr>
                <w:rFonts w:ascii="Times New Roman" w:hAnsi="Times New Roman"/>
                <w:sz w:val="22"/>
              </w:rPr>
              <w:t>L1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Kafka idempotent producer (sequence number per partition)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sz w:val="22"/>
              </w:rPr>
              <w:t>Дубли при повторной отправке продюсером</w:t>
            </w:r>
          </w:p>
        </w:tc>
      </w:tr>
      <w:tr>
        <w:tc>
          <w:tcPr>
            <w:tcW w:type="dxa" w:w="850"/>
          </w:tcPr>
          <w:p>
            <w:r>
              <w:rPr>
                <w:rFonts w:ascii="Times New Roman" w:hAnsi="Times New Roman"/>
                <w:sz w:val="22"/>
              </w:rPr>
              <w:t>L2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Flink MapState[event_id → ts] с TTL 24 ч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sz w:val="22"/>
              </w:rPr>
              <w:t>Дубли в пределах Flink job (при retry или replay)</w:t>
            </w:r>
          </w:p>
        </w:tc>
      </w:tr>
      <w:tr>
        <w:tc>
          <w:tcPr>
            <w:tcW w:type="dxa" w:w="850"/>
          </w:tcPr>
          <w:p>
            <w:r>
              <w:rPr>
                <w:rFonts w:ascii="Times New Roman" w:hAnsi="Times New Roman"/>
                <w:sz w:val="22"/>
              </w:rPr>
              <w:t>L3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payment_current ReplacingMergeTree(version) — дедупликация по версии; payment_history ReplacingMergeTree(processed_at) — защита ключом (payment_id, source_system, version) при повторном insert/replay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sz w:val="22"/>
              </w:rPr>
              <w:t>Дубли в payment_current при повторной записи</w:t>
            </w:r>
          </w:p>
        </w:tc>
      </w:tr>
    </w:tbl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Итог: effectively-exactly-once — событие может поступить несколько раз, но в хранилище появится ровно одна запись. 9/10 функциональных требований подтверждены тест-кейсами; TC-B07 (late arrivals) — xfail из-за ограничений Beam runtime.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4.4. Отказоустойчивость и эксплуатационные сценарии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Так как конвейер относится к потоковым системам, корректность определяется не только нормальной обработкой одиночного события, но и поведением при отказах. В работе рассмотрены основные отказные сценарии: повторная отправка producer, рестарт Flink job, временная недоступность ClickHouse, накопление consumer lag и появление поздних событий. Для каждого сценария выбрана реакция, сохраняющая RPO = 0 и ограничивающая влияние на downstream-потребителей.</w:t>
      </w:r>
    </w:p>
    <w:p>
      <w:pPr>
        <w:spacing w:before="0" w:after="120"/>
      </w:pPr>
      <w:r>
        <w:rPr>
          <w:rFonts w:ascii="Times New Roman" w:hAnsi="Times New Roman"/>
          <w:b/>
          <w:i w:val="0"/>
          <w:sz w:val="24"/>
        </w:rPr>
        <w:t>Таблица 2 – Эксплуатационные сценарии и реакция системы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2"/>
              </w:rPr>
              <w:t>Сценарий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/>
                <w:sz w:val="22"/>
              </w:rPr>
              <w:t>Риск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/>
                <w:sz w:val="22"/>
              </w:rPr>
              <w:t>Механизм обработки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Повтор producer.send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Дубликаты в Kafka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2"/>
              </w:rPr>
              <w:t>enable.idempotence=true, acks=all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Рестарт Flink TaskManager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Повтор обработки после checkpoint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2"/>
              </w:rPr>
              <w:t>Kafka offsets + Flink checkpoint + L2/L3 дедупликация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Недоступен ClickHouse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Рост буфера sink и lag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2"/>
              </w:rPr>
              <w:t>Retry с backoff, повторная запись идемпотентна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Пиковая нагрузка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p99 latency &gt; SLA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2"/>
              </w:rPr>
              <w:t>Буферизация в Kafka, масштабирование parallelism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Late arrival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Нарушение SCD2-диапазонов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2"/>
              </w:rPr>
              <w:t>Маршрутизация в payments.late (не реализовано в Beam runtime; все события обрабатываются в основном потоке)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Невалидное событие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Остановка job или загрязнение хранилища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2"/>
              </w:rPr>
              <w:t>DLQ с кодом ошибки и исходным payload</w:t>
            </w:r>
          </w:p>
        </w:tc>
      </w:tr>
    </w:tbl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Отдельно важно различать delivery guarantees и storage semantics. Flink job сконфигурирован как at-least-once поток с checkpoint, поэтому после рестарта часть событий может быть обработана повторно. Однако повторная обработка не должна менять наблюдаемое состояние хранилища: event_id хранится в MapState, контентный SHA-256 хэш отсекает события без изменения значимых полей, а ReplacingMergeTree защищает представление payment_current от повторной записи одной версии. Поэтому итоговая гарантия формулируется как effectively-exactly-once на уровне аналитического состояния, а не как строгая транзакционная exactly-once семантика всей распределённой цепочки.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Для эксплуатации предусмотрены метрики, по которым можно принять решение о масштабировании: consumer lag, p99 e2e latency, checkpoint duration, DLQ rate, ошибки вставки в ClickHouse и heap utilization. Если consumer lag растёт при стабильной входной нагрузке, узким местом считается Flink job или sink; если увеличивается checkpoint duration, требуется анализ размера state и скорости state backend; если растёт DLQ rate, проблема относится к качеству входных данных или изменению контракта события.</w:t>
      </w:r>
    </w:p>
    <w:p>
      <w:r>
        <w:br w:type="page"/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32"/>
        </w:rPr>
        <w:t>ГЛАВА 5. КАЧЕСТВО ДАННЫХ И НАБЛЮДАЕМОСТЬ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5.1. Трёхуровневые DQ-проверки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c>
          <w:tcPr>
            <w:tcW w:type="dxa" w:w="1984"/>
          </w:tcPr>
          <w:p>
            <w:r>
              <w:rPr>
                <w:rFonts w:ascii="Times New Roman" w:hAnsi="Times New Roman"/>
                <w:b/>
                <w:sz w:val="22"/>
              </w:rPr>
              <w:t>Уровень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b/>
                <w:sz w:val="22"/>
              </w:rPr>
              <w:t>Где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b/>
                <w:sz w:val="22"/>
              </w:rPr>
              <w:t>Тип проверки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b/>
                <w:sz w:val="22"/>
              </w:rPr>
              <w:t>Реакция на ошибку</w:t>
            </w:r>
          </w:p>
        </w:tc>
      </w:tr>
      <w:tr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L1 — Схема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Flink ValidatorOperator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Структурные (null, тип, диапазон)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DLQ</w:t>
            </w:r>
          </w:p>
        </w:tc>
      </w:tr>
      <w:tr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L2 — Бизнес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Flink EnricherOperator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Справочная целостность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Предупреждение / fallback</w:t>
            </w:r>
          </w:p>
        </w:tc>
      </w:tr>
      <w:tr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L3 — Хранилище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Post-load DQ checks (ClickHouse SQL)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Консистентность и полнота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Алерт + отчёт</w:t>
            </w:r>
          </w:p>
        </w:tc>
      </w:tr>
    </w:tbl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Пост-загрузочные проверки L3 запускаются по расписанию раз в 15 минут и включают: DQ-020 — отсутствие дублей по event_id в payment_history; DQ-021 — отсутствие разрывов в версиях платежа (версии должны идти подряд: 1, 2, 3, …); DQ-022 — отсутствие перекрытий в диапазонах effective_from / effective_to.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5.2. Мониторинг (Prometheus + Grafana)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Flink экспортирует метрики через JMX → Prometheus JMX Exporter. Grafana дашборд включает: e2e latency (p50/p95/p99), consumer lag по партициям, DLQ rate (%), checkpoint duration, Flink JVM Heap %, throughput (событий/сек). Конфигурация алертов определена в monitoring/alerts.yml: PipelineHighE2ELatency (gauge pipeline_e2e_latency_seconds &gt; 30 с &gt; 5 мин, CRITICAL), PipelineConsumerLagHigh (&gt; 10 000 сообщений &gt; 5 мин, WARNING), PipelineDLQGrowing (DLQ topic &gt; 0 &gt; 1 мин, INFO), PipelineFlinkCheckpointSlow (checkpoint duration &gt; 25 000 ms, WARNING).</w:t>
      </w:r>
    </w:p>
    <w:p>
      <w:r>
        <w:br w:type="page"/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32"/>
        </w:rPr>
        <w:t>ГЛАВА 6. ТЕСТИРОВАНИЕ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6.1. Стратегия тестирования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Тестирование охватывает три уровня по пирамиде тестирования: unit-тесты (~60% кейсов, быстрые), интеграционные тесты (~30%), системные / нагрузочные тесты (&lt; 10%). Тестовое окружение разворачивается командой docker compose up -d.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6.2. Функциональные тест-кейсы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1417"/>
          </w:tcPr>
          <w:p>
            <w:r>
              <w:rPr>
                <w:rFonts w:ascii="Times New Roman" w:hAnsi="Times New Roman"/>
                <w:b/>
                <w:sz w:val="22"/>
              </w:rPr>
              <w:t>Тест-кейс</w:t>
            </w:r>
          </w:p>
        </w:tc>
        <w:tc>
          <w:tcPr>
            <w:tcW w:type="dxa" w:w="5669"/>
          </w:tcPr>
          <w:p>
            <w:r>
              <w:rPr>
                <w:rFonts w:ascii="Times New Roman" w:hAnsi="Times New Roman"/>
                <w:b/>
                <w:sz w:val="22"/>
              </w:rPr>
              <w:t>Описание</w:t>
            </w:r>
          </w:p>
        </w:tc>
        <w:tc>
          <w:tcPr>
            <w:tcW w:type="dxa" w:w="850"/>
          </w:tcPr>
          <w:p>
            <w:r>
              <w:rPr>
                <w:rFonts w:ascii="Times New Roman" w:hAnsi="Times New Roman"/>
                <w:b/>
                <w:sz w:val="22"/>
              </w:rPr>
              <w:t>Статус</w:t>
            </w:r>
          </w:p>
        </w:tc>
      </w:tr>
      <w:tr>
        <w:tc>
          <w:tcPr>
            <w:tcW w:type="dxa" w:w="1417"/>
          </w:tcPr>
          <w:p>
            <w:r>
              <w:rPr>
                <w:rFonts w:ascii="Times New Roman" w:hAnsi="Times New Roman"/>
                <w:sz w:val="22"/>
              </w:rPr>
              <w:t>TC-A01</w:t>
            </w:r>
          </w:p>
        </w:tc>
        <w:tc>
          <w:tcPr>
            <w:tcW w:type="dxa" w:w="5669"/>
          </w:tcPr>
          <w:p>
            <w:r>
              <w:rPr>
                <w:rFonts w:ascii="Times New Roman" w:hAnsi="Times New Roman"/>
                <w:sz w:val="22"/>
              </w:rPr>
              <w:t>Обработка нового платежа: сквозное прохождение через pipeline</w:t>
            </w:r>
          </w:p>
        </w:tc>
        <w:tc>
          <w:tcPr>
            <w:tcW w:type="dxa" w:w="850"/>
          </w:tcPr>
          <w:p>
            <w:r>
              <w:rPr>
                <w:rFonts w:ascii="Times New Roman" w:hAnsi="Times New Roman"/>
                <w:sz w:val="22"/>
              </w:rPr>
              <w:t>✅</w:t>
            </w:r>
          </w:p>
        </w:tc>
      </w:tr>
      <w:tr>
        <w:tc>
          <w:tcPr>
            <w:tcW w:type="dxa" w:w="1417"/>
          </w:tcPr>
          <w:p>
            <w:r>
              <w:rPr>
                <w:rFonts w:ascii="Times New Roman" w:hAnsi="Times New Roman"/>
                <w:sz w:val="22"/>
              </w:rPr>
              <w:t>TC-A02</w:t>
            </w:r>
          </w:p>
        </w:tc>
        <w:tc>
          <w:tcPr>
            <w:tcW w:type="dxa" w:w="5669"/>
          </w:tcPr>
          <w:p>
            <w:r>
              <w:rPr>
                <w:rFonts w:ascii="Times New Roman" w:hAnsi="Times New Roman"/>
                <w:sz w:val="22"/>
              </w:rPr>
              <w:t>Переход статуса → SCD2 новая версия в payment_history</w:t>
            </w:r>
          </w:p>
        </w:tc>
        <w:tc>
          <w:tcPr>
            <w:tcW w:type="dxa" w:w="850"/>
          </w:tcPr>
          <w:p>
            <w:r>
              <w:rPr>
                <w:rFonts w:ascii="Times New Roman" w:hAnsi="Times New Roman"/>
                <w:sz w:val="22"/>
              </w:rPr>
              <w:t>✅</w:t>
            </w:r>
          </w:p>
        </w:tc>
      </w:tr>
      <w:tr>
        <w:tc>
          <w:tcPr>
            <w:tcW w:type="dxa" w:w="1417"/>
          </w:tcPr>
          <w:p>
            <w:r>
              <w:rPr>
                <w:rFonts w:ascii="Times New Roman" w:hAnsi="Times New Roman"/>
                <w:sz w:val="22"/>
              </w:rPr>
              <w:t>TC-A03</w:t>
            </w:r>
          </w:p>
        </w:tc>
        <w:tc>
          <w:tcPr>
            <w:tcW w:type="dxa" w:w="5669"/>
          </w:tcPr>
          <w:p>
            <w:r>
              <w:rPr>
                <w:rFonts w:ascii="Times New Roman" w:hAnsi="Times New Roman"/>
                <w:sz w:val="22"/>
              </w:rPr>
              <w:t>Дедупликация по event_id</w:t>
            </w:r>
          </w:p>
        </w:tc>
        <w:tc>
          <w:tcPr>
            <w:tcW w:type="dxa" w:w="850"/>
          </w:tcPr>
          <w:p>
            <w:r>
              <w:rPr>
                <w:rFonts w:ascii="Times New Roman" w:hAnsi="Times New Roman"/>
                <w:sz w:val="22"/>
              </w:rPr>
              <w:t>✅</w:t>
            </w:r>
          </w:p>
        </w:tc>
      </w:tr>
      <w:tr>
        <w:tc>
          <w:tcPr>
            <w:tcW w:type="dxa" w:w="1417"/>
          </w:tcPr>
          <w:p>
            <w:r>
              <w:rPr>
                <w:rFonts w:ascii="Times New Roman" w:hAnsi="Times New Roman"/>
                <w:sz w:val="22"/>
              </w:rPr>
              <w:t>TC-A04</w:t>
            </w:r>
          </w:p>
        </w:tc>
        <w:tc>
          <w:tcPr>
            <w:tcW w:type="dxa" w:w="5669"/>
          </w:tcPr>
          <w:p>
            <w:r>
              <w:rPr>
                <w:rFonts w:ascii="Times New Roman" w:hAnsi="Times New Roman"/>
                <w:sz w:val="22"/>
              </w:rPr>
              <w:t>Невалидная валюта → DLQ E003 (нет в CH) ¹</w:t>
            </w:r>
          </w:p>
        </w:tc>
        <w:tc>
          <w:tcPr>
            <w:tcW w:type="dxa" w:w="850"/>
          </w:tcPr>
          <w:p>
            <w:r>
              <w:rPr>
                <w:rFonts w:ascii="Times New Roman" w:hAnsi="Times New Roman"/>
                <w:sz w:val="22"/>
              </w:rPr>
              <w:t>✅</w:t>
            </w:r>
          </w:p>
        </w:tc>
      </w:tr>
      <w:tr>
        <w:tc>
          <w:tcPr>
            <w:tcW w:type="dxa" w:w="1417"/>
          </w:tcPr>
          <w:p>
            <w:r>
              <w:rPr>
                <w:rFonts w:ascii="Times New Roman" w:hAnsi="Times New Roman"/>
                <w:sz w:val="22"/>
              </w:rPr>
              <w:t>TC-B01</w:t>
            </w:r>
          </w:p>
        </w:tc>
        <w:tc>
          <w:tcPr>
            <w:tcW w:type="dxa" w:w="5669"/>
          </w:tcPr>
          <w:p>
            <w:r>
              <w:rPr>
                <w:rFonts w:ascii="Times New Roman" w:hAnsi="Times New Roman"/>
                <w:sz w:val="22"/>
              </w:rPr>
              <w:t>Полный жизненный цикл платежа (3 статуса: INITIATED→PROCESSING→COMPLETED)</w:t>
            </w:r>
          </w:p>
        </w:tc>
        <w:tc>
          <w:tcPr>
            <w:tcW w:type="dxa" w:w="850"/>
          </w:tcPr>
          <w:p>
            <w:r>
              <w:rPr>
                <w:rFonts w:ascii="Times New Roman" w:hAnsi="Times New Roman"/>
                <w:sz w:val="22"/>
              </w:rPr>
              <w:t>✅</w:t>
            </w:r>
          </w:p>
        </w:tc>
      </w:tr>
      <w:tr>
        <w:tc>
          <w:tcPr>
            <w:tcW w:type="dxa" w:w="1417"/>
          </w:tcPr>
          <w:p>
            <w:r>
              <w:rPr>
                <w:rFonts w:ascii="Times New Roman" w:hAnsi="Times New Roman"/>
                <w:sz w:val="22"/>
              </w:rPr>
              <w:t>TC-B02</w:t>
            </w:r>
          </w:p>
        </w:tc>
        <w:tc>
          <w:tcPr>
            <w:tcW w:type="dxa" w:w="5669"/>
          </w:tcPr>
          <w:p>
            <w:r>
              <w:rPr>
                <w:rFonts w:ascii="Times New Roman" w:hAnsi="Times New Roman"/>
                <w:sz w:val="22"/>
              </w:rPr>
              <w:t>Контентная дедупликация (хэш)</w:t>
            </w:r>
          </w:p>
        </w:tc>
        <w:tc>
          <w:tcPr>
            <w:tcW w:type="dxa" w:w="850"/>
          </w:tcPr>
          <w:p>
            <w:r>
              <w:rPr>
                <w:rFonts w:ascii="Times New Roman" w:hAnsi="Times New Roman"/>
                <w:sz w:val="22"/>
              </w:rPr>
              <w:t>✅</w:t>
            </w:r>
          </w:p>
        </w:tc>
      </w:tr>
      <w:tr>
        <w:tc>
          <w:tcPr>
            <w:tcW w:type="dxa" w:w="1417"/>
          </w:tcPr>
          <w:p>
            <w:r>
              <w:rPr>
                <w:rFonts w:ascii="Times New Roman" w:hAnsi="Times New Roman"/>
                <w:sz w:val="22"/>
              </w:rPr>
              <w:t>TC-B03</w:t>
            </w:r>
          </w:p>
        </w:tc>
        <w:tc>
          <w:tcPr>
            <w:tcW w:type="dxa" w:w="5669"/>
          </w:tcPr>
          <w:p>
            <w:r>
              <w:rPr>
                <w:rFonts w:ascii="Times New Roman" w:hAnsi="Times New Roman"/>
                <w:sz w:val="22"/>
              </w:rPr>
              <w:t>Отрицательная сумма → DLQ E001 (нет в CH) ¹</w:t>
            </w:r>
          </w:p>
        </w:tc>
        <w:tc>
          <w:tcPr>
            <w:tcW w:type="dxa" w:w="850"/>
          </w:tcPr>
          <w:p>
            <w:r>
              <w:rPr>
                <w:rFonts w:ascii="Times New Roman" w:hAnsi="Times New Roman"/>
                <w:sz w:val="22"/>
              </w:rPr>
              <w:t>✅</w:t>
            </w:r>
          </w:p>
        </w:tc>
      </w:tr>
      <w:tr>
        <w:tc>
          <w:tcPr>
            <w:tcW w:type="dxa" w:w="1417"/>
          </w:tcPr>
          <w:p>
            <w:r>
              <w:rPr>
                <w:rFonts w:ascii="Times New Roman" w:hAnsi="Times New Roman"/>
                <w:sz w:val="22"/>
              </w:rPr>
              <w:t>TC-B04</w:t>
            </w:r>
          </w:p>
        </w:tc>
        <w:tc>
          <w:tcPr>
            <w:tcW w:type="dxa" w:w="5669"/>
          </w:tcPr>
          <w:p>
            <w:r>
              <w:rPr>
                <w:rFonts w:ascii="Times New Roman" w:hAnsi="Times New Roman"/>
                <w:sz w:val="22"/>
              </w:rPr>
              <w:t>Пустой payer_id → обрабатывается нормально (payer_id опционален)</w:t>
            </w:r>
          </w:p>
        </w:tc>
        <w:tc>
          <w:tcPr>
            <w:tcW w:type="dxa" w:w="850"/>
          </w:tcPr>
          <w:p>
            <w:r>
              <w:rPr>
                <w:rFonts w:ascii="Times New Roman" w:hAnsi="Times New Roman"/>
                <w:sz w:val="22"/>
              </w:rPr>
              <w:t>✅</w:t>
            </w:r>
          </w:p>
        </w:tc>
      </w:tr>
      <w:tr>
        <w:tc>
          <w:tcPr>
            <w:tcW w:type="dxa" w:w="1417"/>
          </w:tcPr>
          <w:p>
            <w:r>
              <w:rPr>
                <w:rFonts w:ascii="Times New Roman" w:hAnsi="Times New Roman"/>
                <w:sz w:val="22"/>
              </w:rPr>
              <w:t>TC-B06</w:t>
            </w:r>
          </w:p>
        </w:tc>
        <w:tc>
          <w:tcPr>
            <w:tcW w:type="dxa" w:w="5669"/>
          </w:tcPr>
          <w:p>
            <w:r>
              <w:rPr>
                <w:rFonts w:ascii="Times New Roman" w:hAnsi="Times New Roman"/>
                <w:sz w:val="22"/>
              </w:rPr>
              <w:t>Нулевая сумма → DLQ E001 (нет в CH) ¹</w:t>
            </w:r>
          </w:p>
        </w:tc>
        <w:tc>
          <w:tcPr>
            <w:tcW w:type="dxa" w:w="850"/>
          </w:tcPr>
          <w:p>
            <w:r>
              <w:rPr>
                <w:rFonts w:ascii="Times New Roman" w:hAnsi="Times New Roman"/>
                <w:sz w:val="22"/>
              </w:rPr>
              <w:t>✅</w:t>
            </w:r>
          </w:p>
        </w:tc>
      </w:tr>
      <w:tr>
        <w:tc>
          <w:tcPr>
            <w:tcW w:type="dxa" w:w="1417"/>
          </w:tcPr>
          <w:p>
            <w:r>
              <w:rPr>
                <w:rFonts w:ascii="Times New Roman" w:hAnsi="Times New Roman"/>
                <w:sz w:val="22"/>
              </w:rPr>
              <w:t>TC-B07</w:t>
            </w:r>
          </w:p>
        </w:tc>
        <w:tc>
          <w:tcPr>
            <w:tcW w:type="dxa" w:w="5669"/>
          </w:tcPr>
          <w:p>
            <w:r>
              <w:rPr>
                <w:rFonts w:ascii="Times New Roman" w:hAnsi="Times New Roman"/>
                <w:sz w:val="22"/>
              </w:rPr>
              <w:t>Позднее событие (&gt; watermark) → payments.late [маршрутизация отключена в Beam runtime]</w:t>
            </w:r>
          </w:p>
        </w:tc>
        <w:tc>
          <w:tcPr>
            <w:tcW w:type="dxa" w:w="850"/>
          </w:tcPr>
          <w:p>
            <w:r>
              <w:rPr>
                <w:rFonts w:ascii="Times New Roman" w:hAnsi="Times New Roman"/>
                <w:sz w:val="22"/>
              </w:rPr>
              <w:t>⚠️ xfail</w:t>
            </w:r>
          </w:p>
        </w:tc>
      </w:tr>
    </w:tbl>
    <w:p>
      <w:pPr>
        <w:spacing w:before="0" w:after="120"/>
      </w:pPr>
      <w:r>
        <w:rPr>
          <w:rFonts w:ascii="Times New Roman" w:hAnsi="Times New Roman"/>
          <w:b/>
          <w:i w:val="0"/>
          <w:sz w:val="26"/>
        </w:rPr>
        <w:t>Покрытие требований: 9/10 FR подтверждены тест-кейсами; TC-B07 (late arrivals) — xfail (маршрутизация в payments.late отключена в Beam PyFlink runtime).</w:t>
      </w:r>
    </w:p>
    <w:p>
      <w:pPr>
        <w:spacing w:before="0" w:after="120"/>
      </w:pPr>
      <w:r>
        <w:rPr>
          <w:rFonts w:ascii="Times New Roman" w:hAnsi="Times New Roman"/>
          <w:b w:val="0"/>
          <w:i w:val="0"/>
          <w:sz w:val="22"/>
        </w:rPr>
        <w:t>¹ Факт попадания в DLQ проверяется по отсутствию записи в ClickHouse (payment_current, payment_history). Прямая верификация Kafka-топика payments.dlq требует Kafka-consumer helper и вынесена за рамки прототипа (тест test_in_dlq помечен xfail).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6.3. Нагрузочное тестирование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Стенд: 1 машина, 16 vCPU, 32 GB RAM, SSD NVMe, docker compose. Генератор синтетических событий (payment_generator.py) с логнормальным распределением сумм (μ=7.5, σ=1.2), суточным профилем нагрузки и реалистичным распределением источников (ACQUIRING 60%, MOBILE_APP 25%, …). Полный отчёт с метриками сохранён в results/load_report.json.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9"/>
        <w:gridCol w:w="1709"/>
        <w:gridCol w:w="1709"/>
        <w:gridCol w:w="1709"/>
        <w:gridCol w:w="1709"/>
        <w:gridCol w:w="1709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2"/>
              </w:rPr>
              <w:t>Нагрузка (событий/сек)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/>
                <w:sz w:val="22"/>
              </w:rPr>
              <w:t>p99 latency (с)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b/>
                <w:sz w:val="22"/>
              </w:rPr>
              <w:t>Consumer lag (max)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/>
                <w:sz w:val="22"/>
              </w:rPr>
              <w:t>Checkpoint (с)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/>
                <w:sz w:val="22"/>
              </w:rPr>
              <w:t>Heap JVM (%)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/>
                <w:sz w:val="22"/>
              </w:rPr>
              <w:t>SLA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200 (baseline)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4.0 ¹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0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0.09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✅ OK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1 000 (ramp-пик) ²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95.8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5 677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17.2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❌ SLA нарушен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2 000 (10×)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58.1 ³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19 200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14.7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79%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❌ Latency</w:t>
            </w:r>
          </w:p>
        </w:tc>
      </w:tr>
    </w:tbl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4"/>
        </w:rPr>
        <w:t>¹ gauge-приближение из Flink (p50 = 4.0 с, p99 = 4.0 с): метрика отражает время от event_ts источника до момента обработки в ScdMergerOperator; истинный e2e-p99 (including ClickHouse sink) требует histogram или post-hoc ClickHouse quantile. ² ramp-тест 200→600→1000 RPS: pipeline насыщается при ~480–500 событий/сек (1 TaskManager, 4 слота); эффективная ёмкость стенда ≈ 480 событий/сек. События не теряются — буферизованы в Kafka; масштабирование (добавление TaskManagers) восстановит SLA. ³ При 2 000 событий/сек p99 превышает SLA (58 с &gt; 30 с); consumer lag вернулся к нулю за 4 мин 12 с после снижения нагрузки.</w:t>
      </w:r>
    </w:p>
    <w:p>
      <w:pPr>
        <w:spacing w:before="0" w:after="120"/>
      </w:pPr>
      <w:r>
        <w:rPr>
          <w:rFonts w:ascii="Times New Roman" w:hAnsi="Times New Roman"/>
          <w:b/>
          <w:i w:val="0"/>
          <w:sz w:val="26"/>
        </w:rPr>
        <w:t>Тест восстановления (TC-C03):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c>
          <w:tcPr>
            <w:tcW w:type="dxa" w:w="3118"/>
          </w:tcPr>
          <w:p>
            <w:r>
              <w:rPr>
                <w:rFonts w:ascii="Times New Roman" w:hAnsi="Times New Roman"/>
                <w:b/>
                <w:sz w:val="22"/>
              </w:rPr>
              <w:t>Параметр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b/>
                <w:sz w:val="22"/>
              </w:rPr>
              <w:t>Измеренное значение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/>
                <w:sz w:val="22"/>
              </w:rPr>
              <w:t>SLA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/>
                <w:sz w:val="22"/>
              </w:rPr>
              <w:t>Результат</w:t>
            </w:r>
          </w:p>
        </w:tc>
      </w:tr>
      <w:tr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RTO (время восстановления)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2 мин 37 с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≤ 5 мин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✅</w:t>
            </w:r>
          </w:p>
        </w:tc>
      </w:tr>
      <w:tr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RPO (потеря данных)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0 событий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0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✅</w:t>
            </w:r>
          </w:p>
        </w:tc>
      </w:tr>
    </w:tbl>
    <w:p>
      <w:pPr>
        <w:spacing w:before="240" w:after="120"/>
      </w:pPr>
      <w:r>
        <w:rPr>
          <w:rFonts w:ascii="Times New Roman" w:hAnsi="Times New Roman"/>
          <w:b/>
          <w:sz w:val="28"/>
        </w:rPr>
        <w:t>6.4. Достоверность результатов и ограничения эксперимента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Нагрузочные измерения выполнялись по воспроизводимому протоколу. Перед каждым прогоном поднималось одно и то же docker compose окружение, очищались тестовые таблицы ClickHouse и Kafka-топики, после чего генератор отправлял поток событий с заданной интенсивностью. Для baseline-сценария использовалась длительность 300 секунд и 59_530 событий; для ramp-сценария (200→600→1000 RPS) — 3 шага по 120 с (~209520 событий); для 10× сценария — 600 000 событий. Такая длительность достаточна, чтобы Prometheus успел накопить несколько окон scrape и чтобы в измерения попали checkpoint, батчевая запись и обычный consumer lag.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Метрика e2e latency является gauge-derived approximation: фиксирует время от event_ts источника до момента обработки в ScdMergerOperator (до записи в ClickHouse sink). Истинный end-to-end p99 (включая ClickHouse sink latency) требует перехода с gauge на histogram или post-hoc ClickHouse quantile-запроса. Именно p99 выбран в SLA: для платёжной аналитики важна не только типичная задержка, но и поведение системы на редких, но регулярных пиках нагрузки.</w:t>
      </w:r>
    </w:p>
    <w:p>
      <w:pPr>
        <w:spacing w:before="0" w:after="120"/>
      </w:pPr>
      <w:r>
        <w:rPr>
          <w:rFonts w:ascii="Times New Roman" w:hAnsi="Times New Roman"/>
          <w:b/>
          <w:i w:val="0"/>
          <w:sz w:val="24"/>
        </w:rPr>
        <w:t>Таблица 3 – Объёмные характеристики проекта и эксперимента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2835"/>
          </w:tcPr>
          <w:p>
            <w:r>
              <w:rPr>
                <w:rFonts w:ascii="Times New Roman" w:hAnsi="Times New Roman"/>
                <w:b/>
                <w:sz w:val="22"/>
              </w:rPr>
              <w:t>Показатель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2"/>
              </w:rPr>
              <w:t>Значение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/>
                <w:sz w:val="22"/>
              </w:rPr>
              <w:t>Комментарий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Размер baseline-прогона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59 530 событий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2"/>
              </w:rPr>
              <w:t>200 событий/сек × 300 секунд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Размер 5× прогона (ramp)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209 520 событий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2"/>
              </w:rPr>
              <w:t>ramp 200→600→1000 RPS, пик шаг ~961 ev/s, SLA нарушен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Размер 10× прогона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600 000 событий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2"/>
              </w:rPr>
              <w:t>2 000 событий/сек × 300 секунд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Число Kafka-топиков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2"/>
              </w:rPr>
              <w:t>raw, processed, dlq, late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Основные таблицы ClickHouse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2"/>
              </w:rPr>
              <w:t>history, current, exchange_rates, merchant_dict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Кодовая база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pipeline, generator, tests, infra, monitoring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2"/>
              </w:rPr>
              <w:t>исходный код и инфраструктура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Наблюдаемые метрики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latency, lag, checkpoint, heap, DLQ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2"/>
              </w:rPr>
              <w:t>Prometheus/Grafana</w:t>
            </w:r>
          </w:p>
        </w:tc>
      </w:tr>
    </w:tbl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Основное ограничение эксперимента состоит в том, что он выполнен на одной машине, а не в распределённом production-кластере. Поэтому абсолютные значения latency и throughput нельзя напрямую переносить на промышленную инфраструктуру. Однако эксперимент подтверждает относительные свойства архитектуры: наличие backpressure при 10× нагрузке, отсутствие потери событий за счёт Kafka-буферизации, сохранение SLA при baseline (200 ev/s, эффективная ёмкость стенда ~480 ev/s), нарушение SLA при 1 000 ev/s (требует горизонтальное масштабирование), а также восстановление после отказа в пределах RTO.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Второе ограничение связано с синтетическими данными. Генератор воспроизводит типовые распределения сумм, статусов и источников, но не моделирует все реальные аномалии платёжного домена: массовые возвраты, сложные chargeback-сценарии, изменения валютных курсов внутри короткого окна, а также юридические ограничения по хранению PII. Эти аспекты вынесены в дальнейшее развитие и не снижают основной результат работы, поскольку предметом ВКР является архитектура NRT-доставки и историзации, а не промышленная платёжная платформа целиком.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Для повышения достоверности результатов в дальнейшей работе следует выполнить повторные прогоны на нескольких конфигурациях parallelism, отдельно измерить вклад каждого этапа pipeline в задержку, добавить chaos-тесты для Kafka и ClickHouse, а также проверить replay за полный retention-период. Эти проверки не меняют выбранную архитектуру, но позволят точнее подобрать параметры промышленной эксплуатации: число партиций Kafka, размер батча ClickHouse, интервал checkpoint и объём Flink state.</w:t>
      </w:r>
    </w:p>
    <w:p>
      <w:r>
        <w:br w:type="page"/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32"/>
        </w:rPr>
        <w:t>ЗАКЛЮЧЕНИЕ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В рамках данной работы разработан и протестирован NRT-конвейер передачи платёжных данных с сохранением полной истории изменений. Сформулируем основные результаты.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1. Спроектирована и реализована система на базе Kappa-архитектуры: Apache Kafka (брокер), Apache Flink 1.19 (потоковая обработка, stateful SCD2), ClickHouse 24.x (аналитическое хранилище). Выбор обоснован сравнительным анализом альтернатив (Lambda vs Kappa, Spark SS vs Flink, PostgreSQL vs ClickHouse).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2. Реализована трёхуровневая стратегия дедупликации (Kafka idempotent + Flink MapState + ClickHouse ReplacingMergeTree), обеспечивающая effectively-exactly-once семантику без поддержки точного exactly-once в каждом компоненте.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3. Реализован гибридный паттерн хранения истории SCD Type 2 + append-only event log в ClickHouse. Поддерживаются point-in-time запросы для аудита и полного восстановления состояния любого платежа.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4. Разработаны трёхуровневые DQ-проверки (L1-структурные в реальном времени, L2-бизнес в реальном времени, L3-пост-загрузочные SQL-запросы в ClickHouse) и система мониторинга на базе Prometheus + Grafana с алертами.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5. Проведено тестирование: 9/10 функциональных требований подтверждены тест-кейсами (TC-B07 late arrivals — xfail, маршрутизация отключена в Beam runtime). При baseline-нагрузке 200 событий/сек p99 = 4.0 с (SLA ≤ 30 с). Эффективная ёмкость стенда ~480 событий/сек; при 1 000 событий/сек p99 = 95.79 с (SLA нарушен — требуется горизонтальное масштабирование). RTO = 2 мин 37 с, RPO = 0.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Ограничения и направления дальнейшего развития: (1) переход на Avro-сериализацию в продуктивном окружении для снижения размера сообщений на ~85%; (2) добавление хранения raw событий в объектном хранилище (S3/MinIO) для replay за горизонт 30 дней; (3) реализация schema evolution через Confluent Schema Registry; (4) развёртывание в Kubernetes с Flink Operator для автоматического горизонтального масштабирования при превышении consumer lag.</w:t>
      </w:r>
    </w:p>
    <w:p>
      <w:r>
        <w:br w:type="page"/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32"/>
        </w:rPr>
        <w:t>СПИСОК ЛИТЕРАТУРЫ</w:t>
      </w:r>
    </w:p>
    <w:p>
      <w:pPr>
        <w:spacing w:after="80"/>
        <w:ind w:hanging="709" w:left="709"/>
      </w:pPr>
      <w:r>
        <w:rPr>
          <w:rFonts w:ascii="Times New Roman" w:hAnsi="Times New Roman"/>
          <w:sz w:val="24"/>
        </w:rPr>
        <w:t>[1] Carbone P., Katsifodimos A., Ewen S., Markl V., Haridi S., Tzoumas K. Apache Flink: Stream and Batch Processing in a Single Engine // IEEE Data Eng. Bull. — 2015. — Vol. 38, No. 4. — P. 28–38.</w:t>
      </w:r>
    </w:p>
    <w:p>
      <w:pPr>
        <w:spacing w:after="80"/>
        <w:ind w:hanging="709" w:left="709"/>
      </w:pPr>
      <w:r>
        <w:rPr>
          <w:rFonts w:ascii="Times New Roman" w:hAnsi="Times New Roman"/>
          <w:sz w:val="24"/>
        </w:rPr>
        <w:t>[2] Carbone P., Fóra G., Ewen S., Haridi S., Tzoumas K. Lightweight Asynchronous Snapshots for Distributed Dataflows // arXiv:1506.08603 [cs.DC]. — 2015.</w:t>
      </w:r>
    </w:p>
    <w:p>
      <w:pPr>
        <w:spacing w:after="80"/>
        <w:ind w:hanging="709" w:left="709"/>
      </w:pPr>
      <w:r>
        <w:rPr>
          <w:rFonts w:ascii="Times New Roman" w:hAnsi="Times New Roman"/>
          <w:sz w:val="24"/>
        </w:rPr>
        <w:t>[3] Akidau T., Bradshaw R., Chambers C. et al. The Dataflow Model: A Practical Approach to Balancing Correctness, Latency, and Cost // VLDB. — 2015. — Vol. 8, No. 12. — P. 1792–1803.</w:t>
      </w:r>
    </w:p>
    <w:p>
      <w:pPr>
        <w:spacing w:after="80"/>
        <w:ind w:hanging="709" w:left="709"/>
      </w:pPr>
      <w:r>
        <w:rPr>
          <w:rFonts w:ascii="Times New Roman" w:hAnsi="Times New Roman"/>
          <w:sz w:val="24"/>
        </w:rPr>
        <w:t>[4] Akidau T., Begoli E., Chernyak S. et al. Watermarks in Stream Processing Systems // VLDB 2021 / OSTI. — 2021.</w:t>
      </w:r>
    </w:p>
    <w:p>
      <w:pPr>
        <w:spacing w:after="80"/>
        <w:ind w:hanging="709" w:left="709"/>
      </w:pPr>
      <w:r>
        <w:rPr>
          <w:rFonts w:ascii="Times New Roman" w:hAnsi="Times New Roman"/>
          <w:sz w:val="24"/>
        </w:rPr>
        <w:t>[5] Armbrust M., Das T., Torres J. et al. Structured Streaming: A Declarative API for Real-Time Applications in Apache Spark // ACM SIGMOD. — 2018. — P. 601–613.</w:t>
      </w:r>
    </w:p>
    <w:p>
      <w:pPr>
        <w:spacing w:after="80"/>
        <w:ind w:hanging="709" w:left="709"/>
      </w:pPr>
      <w:r>
        <w:rPr>
          <w:rFonts w:ascii="Times New Roman" w:hAnsi="Times New Roman"/>
          <w:sz w:val="24"/>
        </w:rPr>
        <w:t>[6] Saket A., Chandela A., Kalim U. Real-time Event Joining in Practice With Kafka and Flink // arXiv:2410.15533 [cs.SE]. — 2024.</w:t>
      </w:r>
    </w:p>
    <w:p>
      <w:pPr>
        <w:spacing w:after="80"/>
        <w:ind w:hanging="709" w:left="709"/>
      </w:pPr>
      <w:r>
        <w:rPr>
          <w:rFonts w:ascii="Times New Roman" w:hAnsi="Times New Roman"/>
          <w:sz w:val="24"/>
        </w:rPr>
        <w:t>[7] Schulze M., Schreiber R., Yatsishin I. et al. ClickHouse — Lightning Fast Analytics for Everyone // VLDB 2024. — Vol. 17. — P. 3731–3744.</w:t>
      </w:r>
    </w:p>
    <w:p>
      <w:pPr>
        <w:spacing w:after="80"/>
        <w:ind w:hanging="709" w:left="709"/>
      </w:pPr>
      <w:r>
        <w:rPr>
          <w:rFonts w:ascii="Times New Roman" w:hAnsi="Times New Roman"/>
          <w:sz w:val="24"/>
        </w:rPr>
        <w:t>[8] Huang Y., Zhongming Z. Near-real-time data pipeline using change data capture approach // Theses, Metropolia AMK. — 2024.</w:t>
      </w:r>
    </w:p>
    <w:p>
      <w:pPr>
        <w:spacing w:after="80"/>
        <w:ind w:hanging="709" w:left="709"/>
      </w:pPr>
      <w:r>
        <w:rPr>
          <w:rFonts w:ascii="Times New Roman" w:hAnsi="Times New Roman"/>
          <w:sz w:val="24"/>
        </w:rPr>
        <w:t>[9] Seenivasan D., Vaithianathan V. Real-Time Adaptation: Change Data Capture in Modern Computer Architecture // ESP International Journal of Advances in Computer Technology. — 2023. — Vol. 2, No. 4. — P. 12–22.</w:t>
      </w:r>
    </w:p>
    <w:p>
      <w:pPr>
        <w:spacing w:after="80"/>
        <w:ind w:hanging="709" w:left="709"/>
      </w:pPr>
      <w:r>
        <w:rPr>
          <w:rFonts w:ascii="Times New Roman" w:hAnsi="Times New Roman"/>
          <w:sz w:val="24"/>
        </w:rPr>
        <w:t>[10] Kovalenko A. Data Replication in Distributed Financial Systems: The CDC Pattern… // Professional Bulletin: IT (Ташкент). — 2026. — No. 1.</w:t>
      </w:r>
    </w:p>
    <w:p>
      <w:pPr>
        <w:spacing w:after="80"/>
        <w:ind w:hanging="709" w:left="709"/>
      </w:pPr>
      <w:r>
        <w:rPr>
          <w:rFonts w:ascii="Times New Roman" w:hAnsi="Times New Roman"/>
          <w:sz w:val="24"/>
        </w:rPr>
        <w:t>[11] Zhang Z., Wu Y., Xu H. et al. Streaming View: An Efficient Data Processing Engine for Real-Time Data Warehouse of Alibaba Cloud // VLDB 2025. — Vol. 18.</w:t>
      </w:r>
    </w:p>
    <w:p>
      <w:pPr>
        <w:spacing w:after="80"/>
        <w:ind w:hanging="709" w:left="709"/>
      </w:pPr>
      <w:r>
        <w:rPr>
          <w:rFonts w:ascii="Times New Roman" w:hAnsi="Times New Roman"/>
          <w:sz w:val="24"/>
        </w:rPr>
        <w:t>[12] Khan M., Liang X., Mary A. et al. Ensuring Data Accuracy and Uniformity in Real-Time ETL for Streaming Systems // ResearchGate. — 2025.</w:t>
      </w:r>
    </w:p>
    <w:p>
      <w:pPr>
        <w:spacing w:after="80"/>
        <w:ind w:hanging="709" w:left="709"/>
      </w:pPr>
      <w:r>
        <w:rPr>
          <w:rFonts w:ascii="Times New Roman" w:hAnsi="Times New Roman"/>
          <w:sz w:val="24"/>
        </w:rPr>
        <w:t>[13] Sahal R., Breslin J.G., Ali M.I. Big Data and Stream Processing Platforms for Industry 4.0 // Journal of Manufacturing Systems. — 2020. — Vol. 54. — P. 173–188.</w:t>
      </w:r>
    </w:p>
    <w:p>
      <w:pPr>
        <w:spacing w:after="80"/>
        <w:ind w:hanging="709" w:left="709"/>
      </w:pPr>
      <w:r>
        <w:rPr>
          <w:rFonts w:ascii="Times New Roman" w:hAnsi="Times New Roman"/>
          <w:sz w:val="24"/>
        </w:rPr>
        <w:t>[14] Gürcan F., Berigel M. Real-time Processing of Big Data Streams // IEEE ISDFS. — 2018.</w:t>
      </w:r>
    </w:p>
    <w:p>
      <w:pPr>
        <w:spacing w:after="80"/>
        <w:ind w:hanging="709" w:left="709"/>
      </w:pPr>
      <w:r>
        <w:rPr>
          <w:rFonts w:ascii="Times New Roman" w:hAnsi="Times New Roman"/>
          <w:sz w:val="24"/>
        </w:rPr>
        <w:t>[15] Nambiar M., Mundra D. An Overview of Data Warehouse and Data Lake in Modern Enterprise Data Management // MDPI Big Data and Cognitive Computing. — 2022. — Vol. 6, No. 4.</w:t>
      </w:r>
    </w:p>
    <w:p>
      <w:r>
        <w:br w:type="page"/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32"/>
        </w:rPr>
        <w:t>Приложение 1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Репозиторий GitHub и структура проекта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Исходный код проекта размещён на GitHub. Использование ИИ-инструментов: при написании данной работы использовался GitHub Copilot (генерация шаблонного кода операторов, автодополнение SQL-запросов) и Claude (структурирование текста документации). Вся бизнес-логика, архитектурные решения и результаты тестирования разработаны автором самостоятельно.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2835"/>
          </w:tcPr>
          <w:p>
            <w:r>
              <w:rPr>
                <w:rFonts w:ascii="Times New Roman" w:hAnsi="Times New Roman"/>
                <w:b/>
                <w:sz w:val="22"/>
              </w:rPr>
              <w:t>Директория / файл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b/>
                <w:sz w:val="22"/>
              </w:rPr>
              <w:t>Описание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docker-compose.yml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2"/>
              </w:rPr>
              <w:t>Полная оркестрация: Kafka, Flink, ClickHouse, Prometheus, Grafana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pipeline/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2"/>
              </w:rPr>
              <w:t>Исходный код Flink Job (Python/PyFlink)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generator/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2"/>
              </w:rPr>
              <w:t>Генератор синтетических платёжных событий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infra/clickhouse/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2"/>
              </w:rPr>
              <w:t>DDL-скрипты создания таблиц ClickHouse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monitoring/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2"/>
              </w:rPr>
              <w:t>Конфигурация Prometheus и правила алертов Grafana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tests/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2"/>
              </w:rPr>
              <w:t>Функциональные, интеграционные и нагрузочные тесты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docs/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2"/>
              </w:rPr>
              <w:t>Проектная документация (markdown), ADR, runbook</w:t>
            </w:r>
          </w:p>
        </w:tc>
      </w:tr>
    </w:tbl>
    <w:p>
      <w:pPr>
        <w:spacing w:before="240" w:after="120"/>
        <w:jc w:val="center"/>
      </w:pPr>
      <w:r>
        <w:rPr>
          <w:rFonts w:ascii="Times New Roman" w:hAnsi="Times New Roman"/>
          <w:b/>
          <w:sz w:val="32"/>
        </w:rPr>
        <w:t>Приложение 2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Глоссарий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2551"/>
          </w:tcPr>
          <w:p>
            <w:r>
              <w:rPr>
                <w:rFonts w:ascii="Times New Roman" w:hAnsi="Times New Roman"/>
                <w:b/>
                <w:sz w:val="22"/>
              </w:rPr>
              <w:t>Термин</w:t>
            </w:r>
          </w:p>
        </w:tc>
        <w:tc>
          <w:tcPr>
            <w:tcW w:type="dxa" w:w="7087"/>
          </w:tcPr>
          <w:p>
            <w:r>
              <w:rPr>
                <w:rFonts w:ascii="Times New Roman" w:hAnsi="Times New Roman"/>
                <w:b/>
                <w:sz w:val="22"/>
              </w:rPr>
              <w:t>Определение</w:t>
            </w:r>
          </w:p>
        </w:tc>
      </w:tr>
      <w:tr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NRT (Near Real-Time)</w:t>
            </w:r>
          </w:p>
        </w:tc>
        <w:tc>
          <w:tcPr>
            <w:tcW w:type="dxa" w:w="7087"/>
          </w:tcPr>
          <w:p>
            <w:r>
              <w:rPr>
                <w:rFonts w:ascii="Times New Roman" w:hAnsi="Times New Roman"/>
                <w:sz w:val="22"/>
              </w:rPr>
              <w:t>Режим обработки с задержкой порядка секунд (не минут и не часов)</w:t>
            </w:r>
          </w:p>
        </w:tc>
      </w:tr>
      <w:tr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SCD Type 2</w:t>
            </w:r>
          </w:p>
        </w:tc>
        <w:tc>
          <w:tcPr>
            <w:tcW w:type="dxa" w:w="7087"/>
          </w:tcPr>
          <w:p>
            <w:r>
              <w:rPr>
                <w:rFonts w:ascii="Times New Roman" w:hAnsi="Times New Roman"/>
                <w:sz w:val="22"/>
              </w:rPr>
              <w:t>Slowly Changing Dimension Type 2: хранение истории изменений атрибутов через создание новых строк с временными метками</w:t>
            </w:r>
          </w:p>
        </w:tc>
      </w:tr>
      <w:tr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Kappa-архитектура</w:t>
            </w:r>
          </w:p>
        </w:tc>
        <w:tc>
          <w:tcPr>
            <w:tcW w:type="dxa" w:w="7087"/>
          </w:tcPr>
          <w:p>
            <w:r>
              <w:rPr>
                <w:rFonts w:ascii="Times New Roman" w:hAnsi="Times New Roman"/>
                <w:sz w:val="22"/>
              </w:rPr>
              <w:t>Архитектурный паттерн потоковых систем: единый путь обработки без отдельного batch-слоя</w:t>
            </w:r>
          </w:p>
        </w:tc>
      </w:tr>
      <w:tr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CDC (Change Data Capture)</w:t>
            </w:r>
          </w:p>
        </w:tc>
        <w:tc>
          <w:tcPr>
            <w:tcW w:type="dxa" w:w="7087"/>
          </w:tcPr>
          <w:p>
            <w:r>
              <w:rPr>
                <w:rFonts w:ascii="Times New Roman" w:hAnsi="Times New Roman"/>
                <w:sz w:val="22"/>
              </w:rPr>
              <w:t>Метод захвата изменений непосредственно из транзакционного лога СУБД</w:t>
            </w:r>
          </w:p>
        </w:tc>
      </w:tr>
      <w:tr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Watermark</w:t>
            </w:r>
          </w:p>
        </w:tc>
        <w:tc>
          <w:tcPr>
            <w:tcW w:type="dxa" w:w="7087"/>
          </w:tcPr>
          <w:p>
            <w:r>
              <w:rPr>
                <w:rFonts w:ascii="Times New Roman" w:hAnsi="Times New Roman"/>
                <w:sz w:val="22"/>
              </w:rPr>
              <w:t>Механизм Flink для обозначения текущего прогресса event-time: события старше watermark признаются «опоздавшими»</w:t>
            </w:r>
          </w:p>
        </w:tc>
      </w:tr>
      <w:tr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DLQ (Dead Letter Queue)</w:t>
            </w:r>
          </w:p>
        </w:tc>
        <w:tc>
          <w:tcPr>
            <w:tcW w:type="dxa" w:w="7087"/>
          </w:tcPr>
          <w:p>
            <w:r>
              <w:rPr>
                <w:rFonts w:ascii="Times New Roman" w:hAnsi="Times New Roman"/>
                <w:sz w:val="22"/>
              </w:rPr>
              <w:t>Специальный Kafka-топик для невалидных или необработанных событий</w:t>
            </w:r>
          </w:p>
        </w:tc>
      </w:tr>
      <w:tr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RocksDB</w:t>
            </w:r>
          </w:p>
        </w:tc>
        <w:tc>
          <w:tcPr>
            <w:tcW w:type="dxa" w:w="7087"/>
          </w:tcPr>
          <w:p>
            <w:r>
              <w:rPr>
                <w:rFonts w:ascii="Times New Roman" w:hAnsi="Times New Roman"/>
                <w:sz w:val="22"/>
              </w:rPr>
              <w:t>LSM-дерево, используемое как state backend в Flink для хранения состояния операторов</w:t>
            </w:r>
          </w:p>
        </w:tc>
      </w:tr>
      <w:tr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effectively-exactly-once</w:t>
            </w:r>
          </w:p>
        </w:tc>
        <w:tc>
          <w:tcPr>
            <w:tcW w:type="dxa" w:w="7087"/>
          </w:tcPr>
          <w:p>
            <w:r>
              <w:rPr>
                <w:rFonts w:ascii="Times New Roman" w:hAnsi="Times New Roman"/>
                <w:sz w:val="22"/>
              </w:rPr>
              <w:t>Гарантия: событие обрабатывается как минимум один раз, но в хранилище попадает ровно одна запись (за счёт идемпотентности sink)</w:t>
            </w:r>
          </w:p>
        </w:tc>
      </w:tr>
      <w:tr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ReplacingMergeTree</w:t>
            </w:r>
          </w:p>
        </w:tc>
        <w:tc>
          <w:tcPr>
            <w:tcW w:type="dxa" w:w="7087"/>
          </w:tcPr>
          <w:p>
            <w:r>
              <w:rPr>
                <w:rFonts w:ascii="Times New Roman" w:hAnsi="Times New Roman"/>
                <w:sz w:val="22"/>
              </w:rPr>
              <w:t>Движок таблицы ClickHouse, удаляющий дублирующиеся строки с одинаковым ключом сортировки при слиянии</w:t>
            </w:r>
          </w:p>
        </w:tc>
      </w:tr>
      <w:tr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p99 latency</w:t>
            </w:r>
          </w:p>
        </w:tc>
        <w:tc>
          <w:tcPr>
            <w:tcW w:type="dxa" w:w="7087"/>
          </w:tcPr>
          <w:p>
            <w:r>
              <w:rPr>
                <w:rFonts w:ascii="Times New Roman" w:hAnsi="Times New Roman"/>
                <w:sz w:val="22"/>
              </w:rPr>
              <w:t>99-й перцентиль задержки: 99% событий обрабатываются быстрее данного значения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134" w:right="56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