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Safira March" w:hAnsi="Safira March"/>
          <w:color w:val="131237"/>
          <w:sz w:val="48"/>
        </w:rPr>
        <w:t>Lineamientos del equipo administrativo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Grupo Poïesis · Clínica Integral de Psicología y Psicoanálisis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Para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Equipo administrativo de Poïesis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De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Fecha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 de ______________ de 2026</w:t>
            </w:r>
          </w:p>
        </w:tc>
      </w:tr>
    </w:tbl>
    <w:p/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Estimado equipo: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El trabajo administrativo es la primera puerta de Poïesis. Es la voz que recibe a quien escribe por primera vez, la que ordena la agenda y la que sostiene, cada día, que la clínica funcione. Gracias por hacerlo posible.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Con este comunicado reunimos en un solo lugar los lineamientos que guían ese trabajo. La mayoría ya forman parte de la práctica diaria; ponerlos por escrito da a todas las personas la misma claridad.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1. Atención a pacientes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El Protocolo de Atención de Poïesis, compartido con el equipo el 19 de febrero de 2026, sigue siendo la referencia. En lo esencial: un trato cálido, sereno y profesional; escuchar antes de informar; ofrecer una alternativa cuando una solicitud no se puede atender; y cerrar cada conversación con el nombre de la persona y una invitación a volver a escribir.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2. Comunicación y convivencia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referencias a las compañeras y compañeros, a las jefaturas, a la Dirección y a la clínica se expresan con respeto, también en su ausencia.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inquietudes y los desacuerdos tienen un canal: la conversación directa con la jefatura o con la Dirección. Toda inquietud planteada por esa vía es bienvenida.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Frente a pacientes, visitantes y proveedores, la comunicación sobre la clínica y su equipo es neutral y respetuosa.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3. Confidencialidad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información de pacientes y la información interna de la clínica se utilizan solo para fines de trabajo. No se copian, reenvían ni almacenan fuera de los canales institucionales.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información salarial de cada persona es confidencial y se conversa en privado.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4. Salario y cargas sociales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Para que todas las personas cuenten con la misma información sobre las deducciones del salario: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aseguramiento ante la Caja Costarricense de Seguro Social es obligatorio para toda persona asalariada. Ni la clínica ni la persona trabajadora pueden renunciar a él.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Ese aporte respalda la atención en salud y la pensión. Junto con la póliza de riesgos del trabajo del INS, protege a cada persona ante un accidente o una enfermedad laboral.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una parte de la remuneración se recibe en especie, también forma parte del salario y se reporta.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Quien desee revisar el detalle de su colilla puede solicitarlo. Con gusto lo explicamos de forma individual.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5. Un marco claro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Como en toda relación laboral, el Código de Trabajo prevé que el incumplimiento de las obligaciones se atienda de forma gradual y proporcional: primero, una conversación; luego, si corresponde, una amonestación escrita; y, cuando una falta es grave o se repite después de haber sido advertida, la terminación del contrato sin responsabilidad patronal.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Lo compartimos por transparencia, para que todas las personas conozcan el marco con la misma claridad. Nuestro interés es que no sea necesario aplicarlo, y confiamos en que así será.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Gracias por el cuidado con que cada persona sostiene su trabajo. Quedamos a disposición para conversar sobre cualquiera de estos puntos.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Con aprecio,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Dr. Carlos Bonilla Cortés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Dra. Silvia Salas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Jefatura</w:t>
            </w:r>
          </w:p>
        </w:tc>
      </w:tr>
    </w:tbl>
    <w:p/>
    <w:p>
      <w:r>
        <w:br w:type="page"/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Acuse de recibo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Recibí y leí este comunicado.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Nombre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Firma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Kristel Carmona Soto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Fiorella Varela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Angiolette Alcázar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b w:val="0"/>
        <w:color w:val="5C6684"/>
        <w:sz w:val="17"/>
      </w:rPr>
      <w:t xml:space="preserve">Página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PAGE</w:instrText>
    </w:r>
    <w:r>
      <w:rPr>
        <w:color w:val="5C6684"/>
        <w:sz w:val="17"/>
      </w:rPr>
      <w:fldChar w:fldCharType="end"/>
    </w:r>
    <w:r>
      <w:rPr>
        <w:rFonts w:ascii="Georgia" w:hAnsi="Georgia"/>
        <w:b w:val="0"/>
        <w:color w:val="5C6684"/>
        <w:sz w:val="17"/>
      </w:rPr>
      <w:t xml:space="preserve"> de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NUMPAGES</w:instrText>
    </w:r>
    <w:r>
      <w:rPr>
        <w:color w:val="5C6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b w:val="0"/>
        <w:color w:val="5C6684"/>
        <w:sz w:val="17"/>
      </w:rPr>
      <w:t>Grupo Poïesis · Confidencial</w:t>
    </w:r>
    <w:r>
      <w:t xml:space="preserve">    </w:t>
    </w:r>
    <w:r>
      <w:rPr>
        <w:rFonts w:ascii="Georgia" w:hAnsi="Georgia"/>
        <w:b/>
        <w:color w:val="131237"/>
        <w:sz w:val="17"/>
      </w:rPr>
      <w:t>BORRADOR · No entregar: el cotejo tiene 5 observaciones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