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  <w:jc w:val="center"/>
      </w:pPr>
      <w:r>
        <w:rPr>
          <w:rFonts w:ascii="Safira March" w:hAnsi="Safira March"/>
          <w:color w:val="131237"/>
          <w:sz w:val="48"/>
        </w:rPr>
        <w:t>Expediente de cada compra</w:t>
      </w:r>
    </w:p>
    <w:p>
      <w:pPr>
        <w:spacing w:before="120" w:after="120" w:line="300" w:lineRule="auto"/>
        <w:jc w:val="center"/>
      </w:pPr>
      <w:r>
        <w:rPr>
          <w:rFonts w:ascii="Georgia" w:hAnsi="Georgia"/>
          <w:b/>
          <w:color w:val="131237"/>
          <w:sz w:val="22"/>
        </w:rPr>
        <w:t>Contratos marco de productos · Uso interno de la Dirección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Cada compra hecha con un contrato marco tiene su propio expediente, en una carpeta digital con el nombre de la proveedora y el número de orden. Un expediente completo permite demostrar, si alguna vez hace falta, que la compra fue lo que el contrato dice.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Antes de la compra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Oferta de la proveedora o propuesta de Poïesis, por escrito.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Orden de compra firmada por ambas partes, con el modelo del anexo 1 del contrato.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Constancia de inscripción de la proveedora ante Hacienda (anexo 2), vigente y con una actividad acorde al producto.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Contabilidad confirma, antes de la primera orden de cada proveedora, el tratamiento del IVA y el momento de emisión del comprobante.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se usan instalaciones, equipos o la marca de Poïesis: la autorización que consta en la orden, con fecha, horario y recursos.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Durante la elaboración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comunicaciones de la compra se hacen en el canal de la orden, porque forman parte de una relación comercial.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No se dan instrucciones de ejecución ni se fijan plazos fuera de los pactados en la orden.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elaboración ocurre fuera de la jornada laboral. Si se graba en la clínica, el horario queda en la orden.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Antes de autorizar el pago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La Administración verifica y anota, con documentos y no con declaraciones: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el producto se elaboró fuera de la jornada laboral.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la proveedora decidió cómo hacerlo.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el producto formaba parte de las tareas de su puesto.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tenía los derechos que concedió, incluidos los de música, imágenes, código o aportes de otras personas.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Cuando sea posible, se guarda evidencia de cómo se hizo el producto: archivos de trabajo y versiones previas, con sus fechas de creación y modificación; el lugar y los equipos de grabación o desarrollo; y el origen de la música, las imágenes, el código o los complementos.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Si el producto es de la misma clase que otros pagados antes de la firma del contrato, se anota cómo se pagaban y si alguna condición laboral cambió. Una compra no reemplaza una tarea del puesto ni un pago laboral ya reconocido.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En las herramientas digitales se anota además quién concibió la herramienta, con qué recursos se desarrolló y qué información usa.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Entrega y pago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El envío registrado en el canal designado: fecha de entrega y archivos recibidos.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autorizaciones de participantes y las licencias de materiales de terceros.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aceptación o las observaciones, dentro de los cinco días hábiles.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El pago, en el día de pago a proveedores, miércoles o jueves, a más tardar el jueves siguiente a la aceptación y al comprobante.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El comprobante electrónico de la proveedora y el comprobante de pago.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Responsables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Aprueba cada orden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Dirección General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Recibe y revisa el producto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Persona designada en la orden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Archiva el expediente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Administración</w:t>
            </w:r>
          </w:p>
        </w:tc>
      </w:tr>
    </w:tbl>
    <w:p/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Lo que se evita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Pagar por esta vía un producto que formó parte de una tarea asignada en el puesto.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Tramitar estas compras en la planilla o mezclar sus mensajes con los de la jornada.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Recurrir a declaraciones de independencia que no describan cómo se hizo el trabajo.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Cambiar de canal solo para aparentar autonomía: el canal comercial se usa porque la operación es comercial.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Georgia" w:hAnsi="Georgia"/>
        <w:b w:val="0"/>
        <w:color w:val="5C6684"/>
        <w:sz w:val="17"/>
      </w:rPr>
      <w:t xml:space="preserve">Página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PAGE</w:instrText>
    </w:r>
    <w:r>
      <w:rPr>
        <w:color w:val="5C6684"/>
        <w:sz w:val="17"/>
      </w:rPr>
      <w:fldChar w:fldCharType="end"/>
    </w:r>
    <w:r>
      <w:rPr>
        <w:rFonts w:ascii="Georgia" w:hAnsi="Georgia"/>
        <w:b w:val="0"/>
        <w:color w:val="5C6684"/>
        <w:sz w:val="17"/>
      </w:rPr>
      <w:t xml:space="preserve"> de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NUMPAGES</w:instrText>
    </w:r>
    <w:r>
      <w:rPr>
        <w:color w:val="5C6684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/>
        <w:b w:val="0"/>
        <w:color w:val="5C6684"/>
        <w:sz w:val="17"/>
      </w:rPr>
      <w:t>Grupo Poïesis · Confidencial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F2E4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F2E47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31237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31237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F2E47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C668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5C668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5C668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5C6684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5C668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C6684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5C6684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31237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C6684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2F2E47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C6684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C6684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C6684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5C6684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D1D0CB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1D0CB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D1D0CB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D1D0CB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1D0CB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1D0CB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D1D0CB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shd w:val="clear" w:color="auto" w:fill="D1D0CB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shd w:val="clear" w:color="auto" w:fill="D1D0C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shd w:val="clear" w:color="auto" w:fill="D1D0CB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color w:val="131237" w:themeColor="text1"/>
      </w:rPr>
      <w:tblPr/>
      <w:tcPr>
        <w:shd w:val="clear" w:color="auto" w:fill="D1D0CB" w:themeFill="tex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3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5C6684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3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D1D0C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2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3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1D0CB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3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3" w:themeFillTint="33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1D0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4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3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D1D0C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5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5" w:themeFillTint="33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D1D0CB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6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6" w:themeFillTint="33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D1D0C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C6684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C6684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31237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3123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2E4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31237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131237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66"/>
      </w:tcPr>
    </w:tblStylePr>
    <w:tblStylePr w:type="band1Horz">
      <w:tblPr/>
      <w:tcPr>
        <w:shd w:val="clear" w:color="auto" w:fill="5C6684" w:themeFill="tex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F2E4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99"/>
      </w:tcPr>
    </w:tblStylePr>
    <w:tblStylePr w:type="band1Vert">
      <w:tblPr/>
      <w:tcPr>
        <w:shd w:val="clear" w:color="auto" w:fill="D1D0CB" w:themeFill="accent1" w:themeFillTint="66"/>
      </w:tcPr>
    </w:tblStylePr>
    <w:tblStylePr w:type="band1Horz">
      <w:tblPr/>
      <w:tcPr>
        <w:shd w:val="clear" w:color="auto" w:fill="D1D0CB" w:themeFill="accen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2F2E4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99"/>
      </w:tcPr>
    </w:tblStylePr>
    <w:tblStylePr w:type="band1Vert">
      <w:tblPr/>
      <w:tcPr>
        <w:shd w:val="clear" w:color="auto" w:fill="D1D0CB" w:themeFill="accent2" w:themeFillTint="66"/>
      </w:tcPr>
    </w:tblStylePr>
    <w:tblStylePr w:type="band1Horz">
      <w:tblPr/>
      <w:tcPr>
        <w:shd w:val="clear" w:color="auto" w:fill="D1D0CB" w:themeFill="accent2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C668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99"/>
      </w:tcPr>
    </w:tblStylePr>
    <w:tblStylePr w:type="band1Vert">
      <w:tblPr/>
      <w:tcPr>
        <w:shd w:val="clear" w:color="auto" w:fill="D1D0CB" w:themeFill="accent3" w:themeFillTint="66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2F2E4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99"/>
      </w:tcPr>
    </w:tblStylePr>
    <w:tblStylePr w:type="band1Vert">
      <w:tblPr/>
      <w:tcPr>
        <w:shd w:val="clear" w:color="auto" w:fill="D1D0CB" w:themeFill="accent4" w:themeFillTint="66"/>
      </w:tcPr>
    </w:tblStylePr>
    <w:tblStylePr w:type="band1Horz">
      <w:tblPr/>
      <w:tcPr>
        <w:shd w:val="clear" w:color="auto" w:fill="D1D0CB" w:themeFill="accent4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5C668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99"/>
      </w:tcPr>
    </w:tblStylePr>
    <w:tblStylePr w:type="band1Vert">
      <w:tblPr/>
      <w:tcPr>
        <w:shd w:val="clear" w:color="auto" w:fill="D1D0CB" w:themeFill="accent5" w:themeFillTint="66"/>
      </w:tcPr>
    </w:tblStylePr>
    <w:tblStylePr w:type="band1Horz">
      <w:tblPr/>
      <w:tcPr>
        <w:shd w:val="clear" w:color="auto" w:fill="D1D0CB" w:themeFill="accent5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5C668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99"/>
      </w:tcPr>
    </w:tblStylePr>
    <w:tblStylePr w:type="band1Vert">
      <w:tblPr/>
      <w:tcPr>
        <w:shd w:val="clear" w:color="auto" w:fill="D1D0CB" w:themeFill="accent6" w:themeFillTint="66"/>
      </w:tcPr>
    </w:tblStylePr>
    <w:tblStylePr w:type="band1Horz">
      <w:tblPr/>
      <w:tcPr>
        <w:shd w:val="clear" w:color="auto" w:fill="D1D0CB" w:themeFill="accent6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4" w:themeFillShade="CC"/>
      </w:tcPr>
    </w:tblStylePr>
    <w:tblStylePr w:type="lastRow">
      <w:rPr>
        <w:b/>
        <w:bCs/>
        <w:color w:val="5C66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shd w:val="clear" w:color="auto" w:fill="FFFFF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3" w:themeFillShade="CC"/>
      </w:tcPr>
    </w:tblStylePr>
    <w:tblStylePr w:type="lastRow">
      <w:rPr>
        <w:b/>
        <w:bCs/>
        <w:color w:val="5C66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6" w:themeFillShade="CC"/>
      </w:tcPr>
    </w:tblStylePr>
    <w:tblStylePr w:type="lastRow">
      <w:rPr>
        <w:b/>
        <w:bCs/>
        <w:color w:val="5C668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shd w:val="clear" w:color="auto" w:fill="FFFFF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5" w:themeFillShade="CC"/>
      </w:tcPr>
    </w:tblStylePr>
    <w:tblStylePr w:type="lastRow">
      <w:rPr>
        <w:b/>
        <w:bCs/>
        <w:color w:val="5C668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shd w:val="clear" w:color="auto" w:fill="FFFFF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3"/>
    </w:tcPr>
    <w:tblStylePr w:type="firstRow">
      <w:rPr>
        <w:b/>
        <w:bCs/>
      </w:rPr>
      <w:tblPr/>
      <w:tcPr>
        <w:shd w:val="clear" w:color="auto" w:fill="5C6684" w:themeFill="tex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5C6684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3"/>
    </w:tcPr>
    <w:tblStylePr w:type="firstRow">
      <w:rPr>
        <w:b/>
        <w:bCs/>
      </w:rPr>
      <w:tblPr/>
      <w:tcPr>
        <w:shd w:val="clear" w:color="auto" w:fill="D1D0CB" w:themeFill="accen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3"/>
    </w:tcPr>
    <w:tblStylePr w:type="firstRow">
      <w:rPr>
        <w:b/>
        <w:bCs/>
      </w:rPr>
      <w:tblPr/>
      <w:tcPr>
        <w:shd w:val="clear" w:color="auto" w:fill="D1D0CB" w:themeFill="accent2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33"/>
    </w:tcPr>
    <w:tblStylePr w:type="firstRow">
      <w:rPr>
        <w:b/>
        <w:bCs/>
      </w:rPr>
      <w:tblPr/>
      <w:tcPr>
        <w:shd w:val="clear" w:color="auto" w:fill="D1D0CB" w:themeFill="accent3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3"/>
    </w:tcPr>
    <w:tblStylePr w:type="firstRow">
      <w:rPr>
        <w:b/>
        <w:bCs/>
      </w:rPr>
      <w:tblPr/>
      <w:tcPr>
        <w:shd w:val="clear" w:color="auto" w:fill="D1D0CB" w:themeFill="accent4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33"/>
    </w:tcPr>
    <w:tblStylePr w:type="firstRow">
      <w:rPr>
        <w:b/>
        <w:bCs/>
      </w:rPr>
      <w:tblPr/>
      <w:tcPr>
        <w:shd w:val="clear" w:color="auto" w:fill="D1D0CB" w:themeFill="accent5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33"/>
    </w:tcPr>
    <w:tblStylePr w:type="firstRow">
      <w:rPr>
        <w:b/>
        <w:bCs/>
      </w:rPr>
      <w:tblPr/>
      <w:tcPr>
        <w:shd w:val="clear" w:color="auto" w:fill="D1D0CB" w:themeFill="accent6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F2E47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31237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31237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F2E47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C668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5C668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5C668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5C6684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5C668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C6684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5C6684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31237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C6684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2F2E47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C6684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C6684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C6684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5C6684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D1D0CB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1D0CB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D1D0CB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D1D0CB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1D0CB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1D0CB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D1D0CB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shd w:val="clear" w:color="auto" w:fill="D1D0CB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shd w:val="clear" w:color="auto" w:fill="D1D0C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shd w:val="clear" w:color="auto" w:fill="D1D0CB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color w:val="131237" w:themeColor="text1"/>
      </w:rPr>
      <w:tblPr/>
      <w:tcPr>
        <w:shd w:val="clear" w:color="auto" w:fill="D1D0CB" w:themeFill="tex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3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5C6684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3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D1D0C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2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3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1D0CB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3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3" w:themeFillTint="33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1D0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4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3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D1D0C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5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5" w:themeFillTint="33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D1D0CB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6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6" w:themeFillTint="33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D1D0C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C6684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C6684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31237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3123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2E4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31237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131237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66"/>
      </w:tcPr>
    </w:tblStylePr>
    <w:tblStylePr w:type="band1Horz">
      <w:tblPr/>
      <w:tcPr>
        <w:shd w:val="clear" w:color="auto" w:fill="5C6684" w:themeFill="tex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F2E4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99"/>
      </w:tcPr>
    </w:tblStylePr>
    <w:tblStylePr w:type="band1Vert">
      <w:tblPr/>
      <w:tcPr>
        <w:shd w:val="clear" w:color="auto" w:fill="D1D0CB" w:themeFill="accent1" w:themeFillTint="66"/>
      </w:tcPr>
    </w:tblStylePr>
    <w:tblStylePr w:type="band1Horz">
      <w:tblPr/>
      <w:tcPr>
        <w:shd w:val="clear" w:color="auto" w:fill="D1D0CB" w:themeFill="accen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2F2E4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99"/>
      </w:tcPr>
    </w:tblStylePr>
    <w:tblStylePr w:type="band1Vert">
      <w:tblPr/>
      <w:tcPr>
        <w:shd w:val="clear" w:color="auto" w:fill="D1D0CB" w:themeFill="accent2" w:themeFillTint="66"/>
      </w:tcPr>
    </w:tblStylePr>
    <w:tblStylePr w:type="band1Horz">
      <w:tblPr/>
      <w:tcPr>
        <w:shd w:val="clear" w:color="auto" w:fill="D1D0CB" w:themeFill="accent2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C668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99"/>
      </w:tcPr>
    </w:tblStylePr>
    <w:tblStylePr w:type="band1Vert">
      <w:tblPr/>
      <w:tcPr>
        <w:shd w:val="clear" w:color="auto" w:fill="D1D0CB" w:themeFill="accent3" w:themeFillTint="66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2F2E4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99"/>
      </w:tcPr>
    </w:tblStylePr>
    <w:tblStylePr w:type="band1Vert">
      <w:tblPr/>
      <w:tcPr>
        <w:shd w:val="clear" w:color="auto" w:fill="D1D0CB" w:themeFill="accent4" w:themeFillTint="66"/>
      </w:tcPr>
    </w:tblStylePr>
    <w:tblStylePr w:type="band1Horz">
      <w:tblPr/>
      <w:tcPr>
        <w:shd w:val="clear" w:color="auto" w:fill="D1D0CB" w:themeFill="accent4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5C668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99"/>
      </w:tcPr>
    </w:tblStylePr>
    <w:tblStylePr w:type="band1Vert">
      <w:tblPr/>
      <w:tcPr>
        <w:shd w:val="clear" w:color="auto" w:fill="D1D0CB" w:themeFill="accent5" w:themeFillTint="66"/>
      </w:tcPr>
    </w:tblStylePr>
    <w:tblStylePr w:type="band1Horz">
      <w:tblPr/>
      <w:tcPr>
        <w:shd w:val="clear" w:color="auto" w:fill="D1D0CB" w:themeFill="accent5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5C668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99"/>
      </w:tcPr>
    </w:tblStylePr>
    <w:tblStylePr w:type="band1Vert">
      <w:tblPr/>
      <w:tcPr>
        <w:shd w:val="clear" w:color="auto" w:fill="D1D0CB" w:themeFill="accent6" w:themeFillTint="66"/>
      </w:tcPr>
    </w:tblStylePr>
    <w:tblStylePr w:type="band1Horz">
      <w:tblPr/>
      <w:tcPr>
        <w:shd w:val="clear" w:color="auto" w:fill="D1D0CB" w:themeFill="accent6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4" w:themeFillShade="CC"/>
      </w:tcPr>
    </w:tblStylePr>
    <w:tblStylePr w:type="lastRow">
      <w:rPr>
        <w:b/>
        <w:bCs/>
        <w:color w:val="5C66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shd w:val="clear" w:color="auto" w:fill="FFFFF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3" w:themeFillShade="CC"/>
      </w:tcPr>
    </w:tblStylePr>
    <w:tblStylePr w:type="lastRow">
      <w:rPr>
        <w:b/>
        <w:bCs/>
        <w:color w:val="5C66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6" w:themeFillShade="CC"/>
      </w:tcPr>
    </w:tblStylePr>
    <w:tblStylePr w:type="lastRow">
      <w:rPr>
        <w:b/>
        <w:bCs/>
        <w:color w:val="5C668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shd w:val="clear" w:color="auto" w:fill="FFFFF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5" w:themeFillShade="CC"/>
      </w:tcPr>
    </w:tblStylePr>
    <w:tblStylePr w:type="lastRow">
      <w:rPr>
        <w:b/>
        <w:bCs/>
        <w:color w:val="5C668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shd w:val="clear" w:color="auto" w:fill="FFFFF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3"/>
    </w:tcPr>
    <w:tblStylePr w:type="firstRow">
      <w:rPr>
        <w:b/>
        <w:bCs/>
      </w:rPr>
      <w:tblPr/>
      <w:tcPr>
        <w:shd w:val="clear" w:color="auto" w:fill="5C6684" w:themeFill="tex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5C6684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3"/>
    </w:tcPr>
    <w:tblStylePr w:type="firstRow">
      <w:rPr>
        <w:b/>
        <w:bCs/>
      </w:rPr>
      <w:tblPr/>
      <w:tcPr>
        <w:shd w:val="clear" w:color="auto" w:fill="D1D0CB" w:themeFill="accen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3"/>
    </w:tcPr>
    <w:tblStylePr w:type="firstRow">
      <w:rPr>
        <w:b/>
        <w:bCs/>
      </w:rPr>
      <w:tblPr/>
      <w:tcPr>
        <w:shd w:val="clear" w:color="auto" w:fill="D1D0CB" w:themeFill="accent2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33"/>
    </w:tcPr>
    <w:tblStylePr w:type="firstRow">
      <w:rPr>
        <w:b/>
        <w:bCs/>
      </w:rPr>
      <w:tblPr/>
      <w:tcPr>
        <w:shd w:val="clear" w:color="auto" w:fill="D1D0CB" w:themeFill="accent3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3"/>
    </w:tcPr>
    <w:tblStylePr w:type="firstRow">
      <w:rPr>
        <w:b/>
        <w:bCs/>
      </w:rPr>
      <w:tblPr/>
      <w:tcPr>
        <w:shd w:val="clear" w:color="auto" w:fill="D1D0CB" w:themeFill="accent4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33"/>
    </w:tcPr>
    <w:tblStylePr w:type="firstRow">
      <w:rPr>
        <w:b/>
        <w:bCs/>
      </w:rPr>
      <w:tblPr/>
      <w:tcPr>
        <w:shd w:val="clear" w:color="auto" w:fill="D1D0CB" w:themeFill="accent5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33"/>
    </w:tcPr>
    <w:tblStylePr w:type="firstRow">
      <w:rPr>
        <w:b/>
        <w:bCs/>
      </w:rPr>
      <w:tblPr/>
      <w:tcPr>
        <w:shd w:val="clear" w:color="auto" w:fill="D1D0CB" w:themeFill="accent6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131237"/>
      </a:dk1>
      <a:lt1>
        <a:sysClr val="window" lastClr="FFFFFF"/>
      </a:lt1>
      <a:dk2>
        <a:srgbClr val="2F2E47"/>
      </a:dk2>
      <a:lt2>
        <a:srgbClr val="FFFFFF"/>
      </a:lt2>
      <a:accent1>
        <a:srgbClr val="5C6684"/>
      </a:accent1>
      <a:accent2>
        <a:srgbClr val="5C6684"/>
      </a:accent2>
      <a:accent3>
        <a:srgbClr val="5C6684"/>
      </a:accent3>
      <a:accent4>
        <a:srgbClr val="5C6684"/>
      </a:accent4>
      <a:accent5>
        <a:srgbClr val="5C6684"/>
      </a:accent5>
      <a:accent6>
        <a:srgbClr val="D1D0CB"/>
      </a:accent6>
      <a:hlink>
        <a:srgbClr val="5C6684"/>
      </a:hlink>
      <a:folHlink>
        <a:srgbClr val="5C6684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131237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131237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131237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