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productos audiovisuales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KRISTELL CARMONA SOTO</w:t>
      </w:r>
      <w:r>
        <w:rPr>
          <w:rFonts w:ascii="Georgia" w:hAnsi="Georgia"/>
          <w:b w:val="0"/>
          <w:color w:val="2F2E47"/>
          <w:sz w:val="21"/>
        </w:rPr>
        <w:t>, cédula de identidad 1-1762-0524, actuando por cuenta propia como creadora audiovisual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productos audiovisuales creados por la Proveedora, como videos y cápsulas,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Este contrato regula solo operaciones cuyo objeto y ejecución son distintos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las personas que participan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Instalaciones, participantes y datos</w:t>
      </w:r>
    </w:p>
    <w:p>
      <w:pPr>
        <w:spacing w:before="0" w:after="120" w:line="300" w:lineRule="auto"/>
      </w:pPr>
      <w:r>
        <w:rPr>
          <w:rFonts w:ascii="Georgia" w:hAnsi="Georgia"/>
          <w:b w:val="0"/>
          <w:color w:val="2F2E47"/>
          <w:sz w:val="21"/>
        </w:rPr>
        <w:t>Si un producto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Cada persona que participa lo hace de forma voluntaria y con autorización escrita para el uso de su imagen, su voz y su intervención, y cede o licencia sus aportes creativos cuando los haya. La Proveedora gestiona esas autorizaciones y las entrega con el producto.</w:t>
      </w:r>
    </w:p>
    <w:p>
      <w:pPr>
        <w:spacing w:before="0" w:after="120" w:line="300" w:lineRule="auto"/>
      </w:pPr>
      <w:r>
        <w:rPr>
          <w:rFonts w:ascii="Georgia" w:hAnsi="Georgia"/>
          <w:b w:val="0"/>
          <w:color w:val="2F2E47"/>
          <w:sz w:val="21"/>
        </w:rPr>
        <w:t>Ningún paciente participa ni aparece en los productos,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y las autorizaciones pactados, accesibles y en condiciones de abrirse. El plazo de revisión corre desde que el producto completo queda disponible en ese canal, con constancia del envío. Si un archivo no se puede abrir o falta, la Adquirente lo comunica dentro de los dos días hábiles siguientes a la puesta a disposición, y el plazo corre desde que la entrega se completa.</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por infracciones a derechos de terceros ni por otros incumplimientos que no pudieron advertirse razonablemente durante la revisión.</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en el momento que establezca la normativa tributaria. El precio es exigible cuando el producto está aceptado y la Adquirente ha recibido ese comprobante. La Adquirente paga en sus días de pago a proveedores, miércoles o jueves, a más tardar el jueves inmediato siguiente a la fecha en que se cumple la última de esas dos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producto,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licencia comprende el producto final entregado. Los guiones, las grabaciones originales y los archivos editables se incluyen solo si la orden lo indica. La orden puede ampliar, limitar o precisar los derechos concedidos.</w:t>
      </w:r>
    </w:p>
    <w:p>
      <w:pPr>
        <w:spacing w:before="0" w:after="120" w:line="300" w:lineRule="auto"/>
      </w:pPr>
      <w:r>
        <w:rPr>
          <w:rFonts w:ascii="Georgia" w:hAnsi="Georgia"/>
          <w:b w:val="0"/>
          <w:color w:val="2F2E47"/>
          <w:sz w:val="21"/>
        </w:rPr>
        <w:t>La Proveedora concede solo los derechos de los que es titular. La exclusividad no alcanza los materiales de terceros, que se usan en los términos de sus licencias. Garantiza que los materiales de terceros incorporados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Ningún producto se elabora con expedientes clínicos, datos que identifiquen a pacientes, credenciales institucionales ni información sensible. La información confidencial que se entregue para una orden se guarda solo en los medios que la orden autorice, con acceso limitado, y se devuelve o se elimina al concluir la operación, salvo que la ley obligue a conservarla. Cualquier pérdida o divulgación no autorizada se comunica de inmediato a la Adquirente.</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Cuando el incumplimiento es grave o esencial, o su corrección es imposible o inútil, la parte afectada puede resolver la orden sin conceder ese plazo.</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keepNext/>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keepNext/>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keepNext/>
        <w:spacing w:before="0" w:after="120" w:line="300" w:lineRule="auto"/>
      </w:pPr>
      <w:r>
        <w:rPr>
          <w:rFonts w:ascii="Georgia" w:hAnsi="Georgia"/>
          <w:b w:val="0"/>
          <w:color w:val="2F2E47"/>
          <w:sz w:val="21"/>
        </w:rPr>
        <w:t>Firmamos en dos tantos de igual valor, en San José, el ____ de ______________ de 2026.</w:t>
      </w:r>
    </w:p>
    <w:p>
      <w:pPr>
        <w:keepNext/>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Participantes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1-1762-0524</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