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Lineamientos del Equipo Administrativo</w:t>
      </w:r>
    </w:p>
    <w:p>
      <w:pPr>
        <w:spacing w:before="120" w:after="120" w:line="300" w:lineRule="auto"/>
      </w:pPr>
      <w:r>
        <w:rPr>
          <w:rFonts w:ascii="Georgia" w:hAnsi="Georgia"/>
          <w:b/>
          <w:color w:val="131237"/>
          <w:sz w:val="22"/>
        </w:rPr>
        <w:t>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Dirección General · 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w:t>
      </w:r>
    </w:p>
    <w:p>
      <w:pPr>
        <w:spacing w:before="0" w:after="120" w:line="300" w:lineRule="auto"/>
      </w:pPr>
      <w:r>
        <w:rPr>
          <w:rFonts w:ascii="Georgia" w:hAnsi="Georgia"/>
          <w:b w:val="0"/>
          <w:color w:val="2F2E47"/>
          <w:sz w:val="21"/>
        </w:rPr>
        <w:t>En lo esencial:</w:t>
      </w:r>
    </w:p>
    <w:p>
      <w:pPr>
        <w:pStyle w:val="ListBullet"/>
        <w:spacing w:before="0" w:after="60" w:line="300" w:lineRule="auto"/>
      </w:pPr>
      <w:r>
        <w:rPr>
          <w:rFonts w:ascii="Georgia" w:hAnsi="Georgia"/>
          <w:b w:val="0"/>
          <w:color w:val="2F2E47"/>
          <w:sz w:val="21"/>
        </w:rPr>
        <w:t>Un trato cálido y sereno,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es preferible confirmar un dato que comunicar información incorrecta.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 Si hay peligro inmediato, se activan los servicios de emergencia.</w:t>
      </w:r>
    </w:p>
    <w:p>
      <w:pPr>
        <w:pStyle w:val="ListBullet"/>
        <w:spacing w:before="0" w:after="60" w:line="300" w:lineRule="auto"/>
      </w:pPr>
      <w:r>
        <w:rPr>
          <w:rFonts w:ascii="Georgia" w:hAnsi="Georgia"/>
          <w:b w:val="0"/>
          <w:color w:val="2F2E47"/>
          <w:sz w:val="21"/>
        </w:rPr>
        <w:t>Ninguna persona queda sin respuesta. Los contactos no se bloquean ni se restringen de forma arbitraria: cualquier medida de ese tipo responde a un motivo legítimo, como amenazas, acoso o fraude, se documenta y se comunica a la Dirección.</w:t>
      </w:r>
    </w:p>
    <w:p>
      <w:pPr>
        <w:pStyle w:val="ListBullet"/>
        <w:spacing w:before="0" w:after="60" w:line="300" w:lineRule="auto"/>
      </w:pPr>
      <w:r>
        <w:rPr>
          <w:rFonts w:ascii="Georgia" w:hAnsi="Georgia"/>
          <w:b w:val="0"/>
          <w:color w:val="2F2E47"/>
          <w:sz w:val="21"/>
        </w:rPr>
        <w:t>Frente a pacientes y a psicólogas y psicólogos que prestan servicios profesionales a la clínica,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relaciones entre compañeras, compañeros, jefaturas, Dirección y profesionales se desarrollan con respeto, también en ausencia de las personas y aun cuando existan diferencias de criterio. Las observaciones y los desacuerdos se expresan de manera profesional, sin perjuicio del derecho a reclamar o acudir a las autoridades competentes.</w:t>
      </w:r>
    </w:p>
    <w:p>
      <w:pPr>
        <w:pStyle w:val="ListBullet"/>
        <w:spacing w:before="0" w:after="60" w:line="300" w:lineRule="auto"/>
      </w:pPr>
      <w:r>
        <w:rPr>
          <w:rFonts w:ascii="Georgia" w:hAnsi="Georgia"/>
          <w:b w:val="0"/>
          <w:color w:val="2F2E47"/>
          <w:sz w:val="21"/>
        </w:rPr>
        <w:t>Las decisiones sobre la incorporación, la organización y la continuidad de las relaciones laborales y profesionales corresponden a las personas u órganos facultados, conforme a los contratos y a la ley.</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La información que se da a visitantes y proveedores sobre la clínica es veraz, profesional y respeta la confidencialidad.</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 Toda persona puede solicitar asesoramiento y acudir a las autoridades competentes, sin represalias por el ejercicio legítimo de sus derechos.</w:t>
      </w:r>
    </w:p>
    <w:p>
      <w:pPr>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 salvo comunicaciones autorizadas por la ley o requerimientos de autoridad competente.</w:t>
      </w:r>
    </w:p>
    <w:p>
      <w:pPr>
        <w:pStyle w:val="ListBullet"/>
        <w:spacing w:before="0" w:after="60" w:line="300" w:lineRule="auto"/>
      </w:pPr>
      <w:r>
        <w:rPr>
          <w:rFonts w:ascii="Georgia" w:hAnsi="Georgia"/>
          <w:b w:val="0"/>
          <w:color w:val="2F2E47"/>
          <w:sz w:val="21"/>
        </w:rPr>
        <w:t>La información salarial que administra Poïesis se trata con reserva. Esto no impide que cada persona hable de sus propias condiciones laborales.</w:t>
      </w:r>
    </w:p>
    <w:p>
      <w:pPr>
        <w:pStyle w:val="ListBullet"/>
        <w:spacing w:before="0" w:after="60" w:line="300" w:lineRule="auto"/>
      </w:pPr>
      <w:r>
        <w:rPr>
          <w:rFonts w:ascii="Georgia" w:hAnsi="Georgia"/>
          <w:b w:val="0"/>
          <w:color w:val="2F2E47"/>
          <w:sz w:val="21"/>
        </w:rPr>
        <w:t>Cualquier pérdida o divulgación accidental de información se comunica de inmediato a la jefatura.</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 sobre las cargas sociales, obligatorias por ley:</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0" w:after="120" w:line="300" w:lineRule="auto"/>
      </w:pPr>
      <w:r>
        <w:rPr>
          <w:rFonts w:ascii="Georgia" w:hAnsi="Georgia"/>
          <w:b w:val="0"/>
          <w:color w:val="2F2E47"/>
          <w:sz w:val="21"/>
        </w:rPr>
        <w:t>Las consultas sobre la colilla, las deducciones y demás aspectos individuales del salario se atienden directamente y en privado.</w:t>
      </w:r>
    </w:p>
    <w:p>
      <w:pPr>
        <w:spacing w:before="280" w:after="120" w:line="300" w:lineRule="auto"/>
        <w:pBdr>
          <w:bottom w:val="single" w:sz="6" w:space="4" w:color="D1D0CB"/>
        </w:pBdr>
      </w:pPr>
      <w:r>
        <w:rPr>
          <w:rFonts w:ascii="Safira March" w:hAnsi="Safira March"/>
          <w:color w:val="131237"/>
          <w:sz w:val="28"/>
        </w:rPr>
        <w:t>5. Responsabilidad y cumplimiento</w:t>
      </w:r>
    </w:p>
    <w:p>
      <w:pPr>
        <w:spacing w:before="0" w:after="120" w:line="300" w:lineRule="auto"/>
      </w:pPr>
      <w:r>
        <w:rPr>
          <w:rFonts w:ascii="Georgia" w:hAnsi="Georgia"/>
          <w:b w:val="0"/>
          <w:color w:val="2F2E47"/>
          <w:sz w:val="21"/>
        </w:rPr>
        <w:t>El cumplimiento responsable de nuestras funciones y protocolos sostiene la calidad de la atención y el bienestar del equipo.</w:t>
      </w:r>
    </w:p>
    <w:p>
      <w:pPr>
        <w:spacing w:before="0" w:after="120" w:line="300" w:lineRule="auto"/>
      </w:pPr>
      <w:r>
        <w:rPr>
          <w:rFonts w:ascii="Georgia" w:hAnsi="Georgia"/>
          <w:b w:val="0"/>
          <w:color w:val="2F2E47"/>
          <w:sz w:val="21"/>
        </w:rPr>
        <w:t>Cuando surjan dificultades o posibles incumplimientos, cada situación se valora de manera objetiva, documentada y proporcional, según su naturaleza, gravedad, circunstancias y antecedentes. Se escucha la versión de la persona y, cuando corresponda, se aplican medidas correctivas o disciplinarias conforme a la legislación laboral. La terminación del contrato sin responsabilidad patronal procede únicamente cuando existe una causa legal debidamente acreditada y se cumplen los requisitos aplicables.</w:t>
      </w:r>
    </w:p>
    <w:p>
      <w:pPr>
        <w:spacing w:before="0" w:after="120" w:line="300" w:lineRule="auto"/>
      </w:pPr>
      <w:r>
        <w:rPr>
          <w:rFonts w:ascii="Georgia" w:hAnsi="Georgia"/>
          <w:b w:val="0"/>
          <w:color w:val="2F2E47"/>
          <w:sz w:val="21"/>
        </w:rPr>
        <w:t>Ninguna sanción es automática. Ejercer derechos laborales, presentar un reclamo o no aceptar una modificación contractual no constituyen, por sí mismos, faltas.</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prevenir dificultades y resolverlas a tiempo, con diálogo y respeto mutuo.</w:t>
      </w:r>
    </w:p>
    <w:p>
      <w:pPr>
        <w:spacing w:before="0" w:after="120" w:line="300" w:lineRule="auto"/>
      </w:pPr>
      <w:r>
        <w:rPr>
          <w:rFonts w:ascii="Georgia" w:hAnsi="Georgia"/>
          <w:b w:val="0"/>
          <w:color w:val="2F2E47"/>
          <w:sz w:val="21"/>
        </w:rPr>
        <w:t>Este comunicado no modifica salarios, jornadas, funciones ni otras condiciones del contrato de trabajo.</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p>
      <w:pPr>
        <w:spacing w:before="0" w:after="120" w:line="300" w:lineRule="auto"/>
      </w:pPr>
      <w:r>
        <w:rPr>
          <w:rFonts w:ascii="Georgia" w:hAnsi="Georgia"/>
          <w:b w:val="0"/>
          <w:color w:val="2F2E47"/>
          <w:sz w:val="21"/>
        </w:rPr>
        <w:t>Con aprecio,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72"/>
      </w:tblGrid>
      <w:tr>
        <w:tc>
          <w:tcPr>
            <w:tcW w:type="dxa" w:w="9072"/>
          </w:tcPr>
          <w:p>
            <w:pPr>
              <w:spacing w:before="40" w:after="40" w:line="264" w:lineRule="auto"/>
            </w:pPr>
            <w:r>
              <w:rPr>
                <w:rFonts w:ascii="Georgia" w:hAnsi="Georgia"/>
                <w:b w:val="0"/>
                <w:color w:val="2F2E47"/>
                <w:sz w:val="19"/>
              </w:rPr>
              <w:t>______________________________</w:t>
            </w:r>
          </w:p>
        </w:tc>
      </w:tr>
      <w:tr>
        <w:tc>
          <w:tcPr>
            <w:tcW w:type="dxa" w:w="9072"/>
          </w:tcPr>
          <w:p>
            <w:pPr>
              <w:spacing w:before="40" w:after="40" w:line="264" w:lineRule="auto"/>
            </w:pPr>
            <w:r>
              <w:rPr>
                <w:rFonts w:ascii="Georgia" w:hAnsi="Georgia"/>
                <w:b w:val="0"/>
                <w:color w:val="2F2E47"/>
                <w:sz w:val="19"/>
              </w:rPr>
              <w:t>Carlos Fernando Bonilla Cortés</w:t>
            </w:r>
          </w:p>
        </w:tc>
      </w:tr>
      <w:tr>
        <w:tc>
          <w:tcPr>
            <w:tcW w:type="dxa" w:w="9072"/>
          </w:tcPr>
          <w:p>
            <w:pPr>
              <w:spacing w:before="40" w:after="40" w:line="264" w:lineRule="auto"/>
            </w:pPr>
            <w:r>
              <w:rPr>
                <w:rFonts w:ascii="Georgia" w:hAnsi="Georgia"/>
                <w:b w:val="0"/>
                <w:color w:val="2F2E47"/>
                <w:sz w:val="19"/>
              </w:rPr>
              <w:t>Director General · Grupo Poïesis</w:t>
            </w:r>
          </w:p>
        </w:tc>
      </w:tr>
    </w:tbl>
    <w:p/>
    <w:p>
      <w:pPr>
        <w:spacing w:before="0" w:after="120" w:line="300" w:lineRule="auto"/>
      </w:pPr>
      <w:r>
        <w:rPr>
          <w:rFonts w:ascii="Georgia" w:hAnsi="Georgia"/>
          <w:b w:val="0"/>
          <w:color w:val="2F2E47"/>
          <w:sz w:val="21"/>
        </w:rPr>
        <w:t>Revisión jurídica: Fressy Mora Peñaranda · Asesoría Legal</w:t>
      </w:r>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Fiorella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