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Lineamientos del Equipo Administrativo</w:t>
      </w:r>
    </w:p>
    <w:p>
      <w:pPr>
        <w:spacing w:before="120" w:after="120" w:line="300" w:lineRule="auto"/>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Dirección General · 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es preferible confirmar un dato que comunicar información incorrecta.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y ningún número se bloquea sin autorización de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referencias a las compañeras y compañeros, a las jefaturas, a la Dirección y a la clínica se expresan con respeto, también en su ausencia.</w:t>
      </w:r>
    </w:p>
    <w:p>
      <w:pPr>
        <w:pStyle w:val="ListBullet"/>
        <w:spacing w:before="0" w:after="60" w:line="300" w:lineRule="auto"/>
      </w:pPr>
      <w:r>
        <w:rPr>
          <w:rFonts w:ascii="Georgia" w:hAnsi="Georgia"/>
          <w:b w:val="0"/>
          <w:color w:val="2F2E47"/>
          <w:sz w:val="21"/>
        </w:rPr>
        <w:t>Las decisiones sobre la incorporación y la permanencia de colaboradores y profesionales corresponden a la Dirección.</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Toda persona puede solicitar asesoramiento y acudir a las autoridades competentes, sin represalias por el ejercicio legítimo de sus derechos.</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280" w:after="120" w:line="300" w:lineRule="auto"/>
        <w:pBdr>
          <w:bottom w:val="single" w:sz="6" w:space="4" w:color="D1D0CB"/>
        </w:pBdr>
      </w:pPr>
      <w:r>
        <w:rPr>
          <w:rFonts w:ascii="Safira March" w:hAnsi="Safira March"/>
          <w:color w:val="131237"/>
          <w:sz w:val="28"/>
        </w:rPr>
        <w:t>5. Un marco claro</w:t>
      </w:r>
    </w:p>
    <w:p>
      <w:pPr>
        <w:spacing w:before="0" w:after="120" w:line="300" w:lineRule="auto"/>
      </w:pPr>
      <w:r>
        <w:rPr>
          <w:rFonts w:ascii="Georgia" w:hAnsi="Georgia"/>
          <w:b w:val="0"/>
          <w:color w:val="2F2E47"/>
          <w:sz w:val="21"/>
        </w:rPr>
        <w:t>En Poïesis, conforme al Código de Trabajo, los incumplimientos se atienden de forma objetiva, documentada y proporcional. Antes de cualquier medida se esclarecen los hechos y se escucha a la persona. Según el caso, puede tratarse de una conversación, una amonestación escrita u otra medida legalmente procedente. Cada situación se valora según su naturaleza, gravedad, circunstancias y antecedentes. La terminación del contrato sin responsabilidad patronal procede únicamente cuando existe una causa legal debidamente acreditada y se cumplen los requisitos aplicables.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que no sea necesario aplicarlo, y confiamos en que así será.</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Carlos Fernando Bonilla Cortés</w:t>
            </w:r>
          </w:p>
        </w:tc>
      </w:tr>
      <w:tr>
        <w:tc>
          <w:tcPr>
            <w:tcW w:type="dxa" w:w="9072"/>
          </w:tcPr>
          <w:p>
            <w:pPr>
              <w:spacing w:before="40" w:after="40" w:line="264" w:lineRule="auto"/>
            </w:pPr>
            <w:r>
              <w:rPr>
                <w:rFonts w:ascii="Georgia" w:hAnsi="Georgia"/>
                <w:b w:val="0"/>
                <w:color w:val="2F2E47"/>
                <w:sz w:val="19"/>
              </w:rPr>
              <w:t>Director General · Grupo Poïesis</w:t>
            </w:r>
          </w:p>
        </w:tc>
      </w:tr>
    </w:tbl>
    <w:p/>
    <w:p>
      <w:pPr>
        <w:spacing w:before="0" w:after="120" w:line="300" w:lineRule="auto"/>
      </w:pPr>
      <w:r>
        <w:rPr>
          <w:rFonts w:ascii="Georgia" w:hAnsi="Georgia"/>
          <w:b w:val="0"/>
          <w:color w:val="2F2E47"/>
          <w:sz w:val="21"/>
        </w:rPr>
        <w:t>Revisión jurídica: Fressy Mora Peñaranda · Asesoría Legal</w:t>
      </w:r>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Fiorella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