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jc w:val="center"/>
      </w:pPr>
      <w:r>
        <w:rPr>
          <w:rFonts w:ascii="Safira March" w:hAnsi="Safira March"/>
          <w:color w:val="131237"/>
          <w:sz w:val="48"/>
        </w:rPr>
        <w:t>Lineamientos del Equipo Administrativo</w:t>
      </w:r>
    </w:p>
    <w:p>
      <w:pPr>
        <w:spacing w:before="120" w:after="120" w:line="300" w:lineRule="auto"/>
        <w:jc w:val="center"/>
      </w:pPr>
      <w:r>
        <w:rPr>
          <w:rFonts w:ascii="Georgia" w:hAnsi="Georgia"/>
          <w:b/>
          <w:color w:val="131237"/>
          <w:sz w:val="22"/>
        </w:rPr>
        <w:t>Poïesis · Clínica Integral de Psicología y Psicoanálisis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4536"/>
        <w:gridCol w:w="4536"/>
      </w:tblGrid>
      <w:tr>
        <w:tc>
          <w:tcPr>
            <w:tcW w:type="dxa" w:w="4536"/>
          </w:tcPr>
          <w:p>
            <w:pPr>
              <w:spacing w:before="40" w:after="40" w:line="264" w:lineRule="auto"/>
            </w:pPr>
            <w:r>
              <w:rPr>
                <w:rFonts w:ascii="Georgia" w:hAnsi="Georgia"/>
                <w:b w:val="0"/>
                <w:color w:val="5C6684"/>
                <w:sz w:val="19"/>
              </w:rPr>
              <w:t>Para</w:t>
            </w:r>
          </w:p>
        </w:tc>
        <w:tc>
          <w:tcPr>
            <w:tcW w:type="dxa" w:w="4536"/>
          </w:tcPr>
          <w:p>
            <w:pPr>
              <w:spacing w:before="40" w:after="40" w:line="264" w:lineRule="auto"/>
            </w:pPr>
            <w:r>
              <w:rPr>
                <w:rFonts w:ascii="Georgia" w:hAnsi="Georgia"/>
                <w:b w:val="0"/>
                <w:color w:val="2F2E47"/>
                <w:sz w:val="19"/>
              </w:rPr>
              <w:t>Equipo administrativo de Poïesis</w:t>
            </w:r>
          </w:p>
        </w:tc>
      </w:tr>
      <w:tr>
        <w:tc>
          <w:tcPr>
            <w:tcW w:type="dxa" w:w="4536"/>
          </w:tcPr>
          <w:p>
            <w:pPr>
              <w:spacing w:before="40" w:after="40" w:line="264" w:lineRule="auto"/>
            </w:pPr>
            <w:r>
              <w:rPr>
                <w:rFonts w:ascii="Georgia" w:hAnsi="Georgia"/>
                <w:b w:val="0"/>
                <w:color w:val="5C6684"/>
                <w:sz w:val="19"/>
              </w:rPr>
              <w:t>De</w:t>
            </w:r>
          </w:p>
        </w:tc>
        <w:tc>
          <w:tcPr>
            <w:tcW w:type="dxa" w:w="4536"/>
          </w:tcPr>
          <w:p>
            <w:pPr>
              <w:spacing w:before="40" w:after="40" w:line="264" w:lineRule="auto"/>
            </w:pPr>
            <w:r>
              <w:rPr>
                <w:rFonts w:ascii="Georgia" w:hAnsi="Georgia"/>
                <w:b w:val="0"/>
                <w:color w:val="2F2E47"/>
                <w:sz w:val="19"/>
              </w:rPr>
              <w:t>Dirección General · Grupo Poïesis</w:t>
            </w:r>
          </w:p>
        </w:tc>
      </w:tr>
      <w:tr>
        <w:tc>
          <w:tcPr>
            <w:tcW w:type="dxa" w:w="4536"/>
          </w:tcPr>
          <w:p>
            <w:pPr>
              <w:spacing w:before="40" w:after="40" w:line="264" w:lineRule="auto"/>
            </w:pPr>
            <w:r>
              <w:rPr>
                <w:rFonts w:ascii="Georgia" w:hAnsi="Georgia"/>
                <w:b w:val="0"/>
                <w:color w:val="5C6684"/>
                <w:sz w:val="19"/>
              </w:rPr>
              <w:t>Fecha</w:t>
            </w:r>
          </w:p>
        </w:tc>
        <w:tc>
          <w:tcPr>
            <w:tcW w:type="dxa" w:w="4536"/>
          </w:tcPr>
          <w:p>
            <w:pPr>
              <w:spacing w:before="40" w:after="40" w:line="264" w:lineRule="auto"/>
            </w:pPr>
            <w:r>
              <w:rPr>
                <w:rFonts w:ascii="Georgia" w:hAnsi="Georgia"/>
                <w:b w:val="0"/>
                <w:color w:val="2F2E47"/>
                <w:sz w:val="19"/>
              </w:rPr>
              <w:t>San José, 27 de octubre de 2026</w:t>
            </w:r>
          </w:p>
        </w:tc>
      </w:tr>
    </w:tbl>
    <w:p/>
    <w:p>
      <w:pPr>
        <w:spacing w:before="0" w:after="120" w:line="300" w:lineRule="auto"/>
      </w:pPr>
      <w:r>
        <w:rPr>
          <w:rFonts w:ascii="Georgia" w:hAnsi="Georgia"/>
          <w:b w:val="0"/>
          <w:color w:val="2F2E47"/>
          <w:sz w:val="21"/>
        </w:rPr>
        <w:t>Estimado equipo:</w:t>
      </w:r>
    </w:p>
    <w:p>
      <w:pPr>
        <w:spacing w:before="0" w:after="120" w:line="300" w:lineRule="auto"/>
      </w:pPr>
      <w:r>
        <w:rPr>
          <w:rFonts w:ascii="Georgia" w:hAnsi="Georgia"/>
          <w:b w:val="0"/>
          <w:color w:val="2F2E47"/>
          <w:sz w:val="21"/>
        </w:rPr>
        <w:t>El trabajo administrativo es la primera puerta de Poïesis. Es la voz que recibe a quien nos escribe por primera vez, la que ordena la agenda y la que sostiene, cada día, que la clínica funcione. Gracias por hacerlo posible.</w:t>
      </w:r>
    </w:p>
    <w:p>
      <w:pPr>
        <w:spacing w:before="0" w:after="120" w:line="300" w:lineRule="auto"/>
      </w:pPr>
      <w:r>
        <w:rPr>
          <w:rFonts w:ascii="Georgia" w:hAnsi="Georgia"/>
          <w:b w:val="0"/>
          <w:color w:val="2F2E47"/>
          <w:sz w:val="21"/>
        </w:rPr>
        <w:t>Con este comunicado reunimos en un solo lugar los lineamientos que guían ese trabajo. La mayoría ya forma parte de la práctica diaria; ponerlos por escrito da a todas las personas la misma claridad.</w:t>
      </w:r>
    </w:p>
    <w:p>
      <w:pPr>
        <w:spacing w:before="280" w:after="120" w:line="300" w:lineRule="auto"/>
        <w:pBdr>
          <w:bottom w:val="single" w:sz="6" w:space="4" w:color="D1D0CB"/>
        </w:pBdr>
      </w:pPr>
      <w:r>
        <w:rPr>
          <w:rFonts w:ascii="Safira March" w:hAnsi="Safira March"/>
          <w:color w:val="131237"/>
          <w:sz w:val="28"/>
        </w:rPr>
        <w:t>1. Trato a las y los pacientes</w:t>
      </w:r>
    </w:p>
    <w:p>
      <w:pPr>
        <w:spacing w:before="0" w:after="120" w:line="300" w:lineRule="auto"/>
      </w:pPr>
      <w:r>
        <w:rPr>
          <w:rFonts w:ascii="Georgia" w:hAnsi="Georgia"/>
          <w:b w:val="0"/>
          <w:color w:val="2F2E47"/>
          <w:sz w:val="21"/>
        </w:rPr>
        <w:t>Quien escribe o llama a Poïesis suele estar dando un paso que le costó. Por eso, el primer contacto ya forma parte del cuidado. El Protocolo de Atención de Poïesis, compartido con el equipo el 19 de febrero de 2026, sigue siendo la referencia.</w:t>
      </w:r>
    </w:p>
    <w:p>
      <w:pPr>
        <w:spacing w:before="0" w:after="120" w:line="300" w:lineRule="auto"/>
      </w:pPr>
      <w:r>
        <w:rPr>
          <w:rFonts w:ascii="Georgia" w:hAnsi="Georgia"/>
          <w:b w:val="0"/>
          <w:color w:val="2F2E47"/>
          <w:sz w:val="21"/>
        </w:rPr>
        <w:t>En lo esencial:</w:t>
      </w:r>
    </w:p>
    <w:p>
      <w:pPr>
        <w:pStyle w:val="ListBullet"/>
        <w:spacing w:before="0" w:after="60" w:line="300" w:lineRule="auto"/>
      </w:pPr>
      <w:r>
        <w:rPr>
          <w:rFonts w:ascii="Georgia" w:hAnsi="Georgia"/>
          <w:b w:val="0"/>
          <w:color w:val="2F2E47"/>
          <w:sz w:val="21"/>
        </w:rPr>
        <w:t>Un trato cálido y sereno, en persona, por teléfono y por escrito, con cada paciente por igual.</w:t>
      </w:r>
    </w:p>
    <w:p>
      <w:pPr>
        <w:pStyle w:val="ListBullet"/>
        <w:spacing w:before="0" w:after="60" w:line="300" w:lineRule="auto"/>
      </w:pPr>
      <w:r>
        <w:rPr>
          <w:rFonts w:ascii="Georgia" w:hAnsi="Georgia"/>
          <w:b w:val="0"/>
          <w:color w:val="2F2E47"/>
          <w:sz w:val="21"/>
        </w:rPr>
        <w:t>Saludo institucional con el nombre propio. Se escucha el mensaje completo y se valida brevemente antes de informar.</w:t>
      </w:r>
    </w:p>
    <w:p>
      <w:pPr>
        <w:pStyle w:val="ListBullet"/>
        <w:spacing w:before="0" w:after="60" w:line="300" w:lineRule="auto"/>
      </w:pPr>
      <w:r>
        <w:rPr>
          <w:rFonts w:ascii="Georgia" w:hAnsi="Georgia"/>
          <w:b w:val="0"/>
          <w:color w:val="2F2E47"/>
          <w:sz w:val="21"/>
        </w:rPr>
        <w:t>Respuestas completas y sin prisa visible. Cuando una solicitud no se puede atender, se ofrece una alternativa concreta: otro horario, otra sede o la verificación del dato con un plazo de respuesta.</w:t>
      </w:r>
    </w:p>
    <w:p>
      <w:pPr>
        <w:pStyle w:val="ListBullet"/>
        <w:spacing w:before="0" w:after="60" w:line="300" w:lineRule="auto"/>
      </w:pPr>
      <w:r>
        <w:rPr>
          <w:rFonts w:ascii="Georgia" w:hAnsi="Georgia"/>
          <w:b w:val="0"/>
          <w:color w:val="2F2E47"/>
          <w:sz w:val="21"/>
        </w:rPr>
        <w:t>Ante una duda, se verifica y se confirma; es preferible confirmar un dato que comunicar información incorrecta.</w:t>
      </w:r>
    </w:p>
    <w:p>
      <w:pPr>
        <w:pStyle w:val="ListBullet"/>
        <w:spacing w:before="0" w:after="60" w:line="300" w:lineRule="auto"/>
      </w:pPr>
      <w:r>
        <w:rPr>
          <w:rFonts w:ascii="Georgia" w:hAnsi="Georgia"/>
          <w:b w:val="0"/>
          <w:color w:val="2F2E47"/>
          <w:sz w:val="21"/>
        </w:rPr>
        <w:t>No se piden detalles clínicos; el motivo de consulta se recoge de forma general.</w:t>
      </w:r>
    </w:p>
    <w:p>
      <w:pPr>
        <w:pStyle w:val="ListBullet"/>
        <w:spacing w:before="0" w:after="60" w:line="300" w:lineRule="auto"/>
      </w:pPr>
      <w:r>
        <w:rPr>
          <w:rFonts w:ascii="Georgia" w:hAnsi="Georgia"/>
          <w:b w:val="0"/>
          <w:color w:val="2F2E47"/>
          <w:sz w:val="21"/>
        </w:rPr>
        <w:t>Ante una persona en crisis o con señales de riesgo, se comunica de inmediato al equipo clínico y se acompaña a la persona mientras tanto. Si hay peligro inmediato, se activan los servicios de emergencia.</w:t>
      </w:r>
    </w:p>
    <w:p>
      <w:pPr>
        <w:pStyle w:val="ListBullet"/>
        <w:spacing w:before="0" w:after="60" w:line="300" w:lineRule="auto"/>
      </w:pPr>
      <w:r>
        <w:rPr>
          <w:rFonts w:ascii="Georgia" w:hAnsi="Georgia"/>
          <w:b w:val="0"/>
          <w:color w:val="2F2E47"/>
          <w:sz w:val="21"/>
        </w:rPr>
        <w:t>Ninguna persona queda sin respuesta. Los contactos no se bloquean ni se restringen de forma arbitraria: cualquier medida de ese tipo responde a un motivo legítimo, como amenazas, acoso o fraude, se documenta y se comunica a la Dirección.</w:t>
      </w:r>
    </w:p>
    <w:p>
      <w:pPr>
        <w:pStyle w:val="ListBullet"/>
        <w:spacing w:before="0" w:after="60" w:line="300" w:lineRule="auto"/>
      </w:pPr>
      <w:r>
        <w:rPr>
          <w:rFonts w:ascii="Georgia" w:hAnsi="Georgia"/>
          <w:b w:val="0"/>
          <w:color w:val="2F2E47"/>
          <w:sz w:val="21"/>
        </w:rPr>
        <w:t>Frente a pacientes y a psicólogas y psicólogos que prestan servicios profesionales a la clínica, no se comentan asuntos internos, opiniones sobre la clínica ni situaciones del equipo.</w:t>
      </w:r>
    </w:p>
    <w:p>
      <w:pPr>
        <w:pStyle w:val="ListBullet"/>
        <w:spacing w:before="0" w:after="60" w:line="300" w:lineRule="auto"/>
      </w:pPr>
      <w:r>
        <w:rPr>
          <w:rFonts w:ascii="Georgia" w:hAnsi="Georgia"/>
          <w:b w:val="0"/>
          <w:color w:val="2F2E47"/>
          <w:sz w:val="21"/>
        </w:rPr>
        <w:t>Cada conversación se cierra con el nombre de la persona, una invitación a volver a escribir y un deseo de bienestar, y se registra en el sistema.</w:t>
      </w:r>
    </w:p>
    <w:p>
      <w:pPr>
        <w:spacing w:before="280" w:after="120" w:line="300" w:lineRule="auto"/>
        <w:pBdr>
          <w:bottom w:val="single" w:sz="6" w:space="4" w:color="D1D0CB"/>
        </w:pBdr>
      </w:pPr>
      <w:r>
        <w:rPr>
          <w:rFonts w:ascii="Safira March" w:hAnsi="Safira March"/>
          <w:color w:val="131237"/>
          <w:sz w:val="28"/>
        </w:rPr>
        <w:t>2. Comunicación y convivencia</w:t>
      </w:r>
    </w:p>
    <w:p>
      <w:pPr>
        <w:pStyle w:val="ListBullet"/>
        <w:spacing w:before="0" w:after="60" w:line="300" w:lineRule="auto"/>
      </w:pPr>
      <w:r>
        <w:rPr>
          <w:rFonts w:ascii="Georgia" w:hAnsi="Georgia"/>
          <w:b w:val="0"/>
          <w:color w:val="2F2E47"/>
          <w:sz w:val="21"/>
        </w:rPr>
        <w:t>Las relaciones entre compañeras, compañeros, jefaturas, Dirección y profesionales se desarrollan con respeto, también en ausencia de las personas y aun cuando existan diferencias de criterio. Las observaciones y los desacuerdos se expresan de manera profesional, sin perjuicio del derecho a reclamar o acudir a las autoridades competentes.</w:t>
      </w:r>
    </w:p>
    <w:p>
      <w:pPr>
        <w:pStyle w:val="ListBullet"/>
        <w:spacing w:before="0" w:after="60" w:line="300" w:lineRule="auto"/>
      </w:pPr>
      <w:r>
        <w:rPr>
          <w:rFonts w:ascii="Georgia" w:hAnsi="Georgia"/>
          <w:b w:val="0"/>
          <w:color w:val="2F2E47"/>
          <w:sz w:val="21"/>
        </w:rPr>
        <w:t>Las decisiones sobre la incorporación, la organización y la continuidad de las relaciones laborales y profesionales corresponden a las personas u órganos facultados, conforme a los contratos y a la ley.</w:t>
      </w:r>
    </w:p>
    <w:p>
      <w:pPr>
        <w:pStyle w:val="ListBullet"/>
        <w:spacing w:before="0" w:after="60" w:line="300" w:lineRule="auto"/>
      </w:pPr>
      <w:r>
        <w:rPr>
          <w:rFonts w:ascii="Georgia" w:hAnsi="Georgia"/>
          <w:b w:val="0"/>
          <w:color w:val="2F2E47"/>
          <w:sz w:val="21"/>
        </w:rPr>
        <w:t>Las inquietudes y los desacuerdos tienen un canal: la conversación directa con la jefatura o con la Dirección. Toda inquietud planteada por esa vía es bienvenida y recibe respuesta.</w:t>
      </w:r>
    </w:p>
    <w:p>
      <w:pPr>
        <w:pStyle w:val="ListBullet"/>
        <w:spacing w:before="0" w:after="60" w:line="300" w:lineRule="auto"/>
      </w:pPr>
      <w:r>
        <w:rPr>
          <w:rFonts w:ascii="Georgia" w:hAnsi="Georgia"/>
          <w:b w:val="0"/>
          <w:color w:val="2F2E47"/>
          <w:sz w:val="21"/>
        </w:rPr>
        <w:t>La información que se da a visitantes y proveedores sobre la clínica es veraz, profesional y respeta la confidencialidad.</w:t>
      </w:r>
    </w:p>
    <w:p>
      <w:pPr>
        <w:pStyle w:val="ListBullet"/>
        <w:spacing w:before="0" w:after="60" w:line="300" w:lineRule="auto"/>
      </w:pPr>
      <w:r>
        <w:rPr>
          <w:rFonts w:ascii="Georgia" w:hAnsi="Georgia"/>
          <w:b w:val="0"/>
          <w:color w:val="2F2E47"/>
          <w:sz w:val="21"/>
        </w:rPr>
        <w:t>Nada de lo anterior limita el derecho de cada persona a plantear sus reclamos ante las instancias que la ley establece. Toda persona puede solicitar asesoramiento y acudir a las autoridades competentes, sin represalias por el ejercicio legítimo de sus derechos.</w:t>
      </w:r>
    </w:p>
    <w:p>
      <w:pPr>
        <w:spacing w:before="280" w:after="120" w:line="300" w:lineRule="auto"/>
        <w:pBdr>
          <w:bottom w:val="single" w:sz="6" w:space="4" w:color="D1D0CB"/>
        </w:pBdr>
      </w:pPr>
      <w:r>
        <w:rPr>
          <w:rFonts w:ascii="Safira March" w:hAnsi="Safira March"/>
          <w:color w:val="131237"/>
          <w:sz w:val="28"/>
        </w:rPr>
        <w:t>3. Confidencialidad</w:t>
      </w:r>
    </w:p>
    <w:p>
      <w:pPr>
        <w:pStyle w:val="ListBullet"/>
        <w:spacing w:before="0" w:after="60" w:line="300" w:lineRule="auto"/>
      </w:pPr>
      <w:r>
        <w:rPr>
          <w:rFonts w:ascii="Georgia" w:hAnsi="Georgia"/>
          <w:b w:val="0"/>
          <w:color w:val="2F2E47"/>
          <w:sz w:val="21"/>
        </w:rPr>
        <w:t>La información de pacientes y la información confidencial de la clínica (expedientes, agendas, datos de contacto, finanzas y documentos legales) se utiliza solo para fines de trabajo. No se copia, reenvía ni almacena fuera de los canales institucionales, salvo comunicaciones autorizadas por la ley o requerimientos de autoridad competente.</w:t>
      </w:r>
    </w:p>
    <w:p>
      <w:pPr>
        <w:pStyle w:val="ListBullet"/>
        <w:spacing w:before="0" w:after="60" w:line="300" w:lineRule="auto"/>
      </w:pPr>
      <w:r>
        <w:rPr>
          <w:rFonts w:ascii="Georgia" w:hAnsi="Georgia"/>
          <w:b w:val="0"/>
          <w:color w:val="2F2E47"/>
          <w:sz w:val="21"/>
        </w:rPr>
        <w:t>La información salarial que administra Poïesis se trata con reserva. Esto no impide que cada persona hable de sus propias condiciones laborales.</w:t>
      </w:r>
    </w:p>
    <w:p>
      <w:pPr>
        <w:pStyle w:val="ListBullet"/>
        <w:spacing w:before="0" w:after="60" w:line="300" w:lineRule="auto"/>
      </w:pPr>
      <w:r>
        <w:rPr>
          <w:rFonts w:ascii="Georgia" w:hAnsi="Georgia"/>
          <w:b w:val="0"/>
          <w:color w:val="2F2E47"/>
          <w:sz w:val="21"/>
        </w:rPr>
        <w:t>Cualquier pérdida o divulgación accidental de información se comunica de inmediato a la jefatura.</w:t>
      </w:r>
    </w:p>
    <w:p>
      <w:pPr>
        <w:pStyle w:val="ListBullet"/>
        <w:spacing w:before="0" w:after="60" w:line="300" w:lineRule="auto"/>
      </w:pPr>
      <w:r>
        <w:rPr>
          <w:rFonts w:ascii="Georgia" w:hAnsi="Georgia"/>
          <w:b w:val="0"/>
          <w:color w:val="2F2E47"/>
          <w:sz w:val="21"/>
        </w:rPr>
        <w:t>Cada persona puede solicitar copia de su propia información laboral: contrato, colillas de pago y expediente.</w:t>
      </w:r>
    </w:p>
    <w:p>
      <w:pPr>
        <w:spacing w:before="280" w:after="120" w:line="300" w:lineRule="auto"/>
        <w:pBdr>
          <w:bottom w:val="single" w:sz="6" w:space="4" w:color="D1D0CB"/>
        </w:pBdr>
      </w:pPr>
      <w:r>
        <w:rPr>
          <w:rFonts w:ascii="Safira March" w:hAnsi="Safira March"/>
          <w:color w:val="131237"/>
          <w:sz w:val="28"/>
        </w:rPr>
        <w:t>4. Salario y cargas sociales</w:t>
      </w:r>
    </w:p>
    <w:p>
      <w:pPr>
        <w:spacing w:before="0" w:after="120" w:line="300" w:lineRule="auto"/>
      </w:pPr>
      <w:r>
        <w:rPr>
          <w:rFonts w:ascii="Georgia" w:hAnsi="Georgia"/>
          <w:b w:val="0"/>
          <w:color w:val="2F2E47"/>
          <w:sz w:val="21"/>
        </w:rPr>
        <w:t>Para que todas las personas cuenten con la misma información sobre las cargas sociales, obligatorias por ley:</w:t>
      </w:r>
    </w:p>
    <w:p>
      <w:pPr>
        <w:spacing w:before="0" w:after="120" w:line="300" w:lineRule="auto"/>
      </w:pPr>
      <w:r>
        <w:rPr>
          <w:rFonts w:ascii="Georgia" w:hAnsi="Georgia"/>
          <w:b/>
          <w:color w:val="2F2E47"/>
          <w:sz w:val="21"/>
        </w:rPr>
        <w:t>Salario bruto y salario neto.</w:t>
      </w:r>
      <w:r>
        <w:rPr>
          <w:rFonts w:ascii="Georgia" w:hAnsi="Georgia"/>
          <w:b w:val="0"/>
          <w:color w:val="2F2E47"/>
          <w:sz w:val="21"/>
        </w:rPr>
        <w:t xml:space="preserve"> El salario bruto es el monto total pactado. El salario neto es lo que se recibe después de rebajar la cuota obrera de la CCSS y, cuando corresponde, el impuesto sobre la renta.</w:t>
      </w:r>
    </w:p>
    <w:p>
      <w:pPr>
        <w:spacing w:before="120" w:after="120" w:line="300" w:lineRule="auto"/>
      </w:pPr>
      <w:r>
        <w:rPr>
          <w:rFonts w:ascii="Georgia" w:hAnsi="Georgia"/>
          <w:b/>
          <w:color w:val="131237"/>
          <w:sz w:val="22"/>
        </w:rPr>
        <w:t>Cómo se dividen las cargas sociales.</w:t>
      </w:r>
    </w:p>
    <w:p>
      <w:pPr>
        <w:pStyle w:val="ListBullet"/>
        <w:spacing w:before="0" w:after="60" w:line="300" w:lineRule="auto"/>
      </w:pPr>
      <w:r>
        <w:rPr>
          <w:rFonts w:ascii="Georgia" w:hAnsi="Georgia"/>
          <w:b w:val="0"/>
          <w:color w:val="2F2E47"/>
          <w:sz w:val="21"/>
        </w:rPr>
        <w:t>La persona trabajadora aporta la cuota obrera, que se rebaja del salario bruto: seguro de salud, pensión (IVM) y aporte al Banco Popular.</w:t>
      </w:r>
    </w:p>
    <w:p>
      <w:pPr>
        <w:pStyle w:val="ListBullet"/>
        <w:spacing w:before="0" w:after="60" w:line="300" w:lineRule="auto"/>
      </w:pPr>
      <w:r>
        <w:rPr>
          <w:rFonts w:ascii="Georgia" w:hAnsi="Georgia"/>
          <w:b w:val="0"/>
          <w:color w:val="2F2E47"/>
          <w:sz w:val="21"/>
        </w:rPr>
        <w:t>La clínica aporta la cuota patronal, que es mayor.</w:t>
      </w:r>
    </w:p>
    <w:p>
      <w:pPr>
        <w:pStyle w:val="ListBullet"/>
        <w:spacing w:before="0" w:after="60" w:line="300" w:lineRule="auto"/>
      </w:pPr>
      <w:r>
        <w:rPr>
          <w:rFonts w:ascii="Georgia" w:hAnsi="Georgia"/>
          <w:b w:val="0"/>
          <w:color w:val="2F2E47"/>
          <w:sz w:val="21"/>
        </w:rPr>
        <w:t>La póliza de riesgos del trabajo del INS la paga la clínica en su totalidad.</w:t>
      </w:r>
    </w:p>
    <w:p>
      <w:pPr>
        <w:spacing w:before="0" w:after="120" w:line="300" w:lineRule="auto"/>
      </w:pPr>
      <w:r>
        <w:rPr>
          <w:rFonts w:ascii="Georgia" w:hAnsi="Georgia"/>
          <w:b w:val="0"/>
          <w:color w:val="2F2E47"/>
          <w:sz w:val="21"/>
        </w:rPr>
        <w:t>Las consultas sobre la colilla, las deducciones y demás aspectos individuales del salario se atienden directamente y en privado.</w:t>
      </w:r>
    </w:p>
    <w:p>
      <w:pPr>
        <w:spacing w:before="280" w:after="120" w:line="300" w:lineRule="auto"/>
        <w:pBdr>
          <w:bottom w:val="single" w:sz="6" w:space="4" w:color="D1D0CB"/>
        </w:pBdr>
      </w:pPr>
      <w:r>
        <w:rPr>
          <w:rFonts w:ascii="Safira March" w:hAnsi="Safira March"/>
          <w:color w:val="131237"/>
          <w:sz w:val="28"/>
        </w:rPr>
        <w:t>5. Responsabilidad y cumplimiento</w:t>
      </w:r>
    </w:p>
    <w:p>
      <w:pPr>
        <w:spacing w:before="0" w:after="120" w:line="300" w:lineRule="auto"/>
      </w:pPr>
      <w:r>
        <w:rPr>
          <w:rFonts w:ascii="Georgia" w:hAnsi="Georgia"/>
          <w:b w:val="0"/>
          <w:color w:val="2F2E47"/>
          <w:sz w:val="21"/>
        </w:rPr>
        <w:t>El cumplimiento responsable de nuestras funciones y protocolos sostiene la calidad de la atención y el bienestar del equipo.</w:t>
      </w:r>
    </w:p>
    <w:p>
      <w:pPr>
        <w:spacing w:before="0" w:after="120" w:line="300" w:lineRule="auto"/>
      </w:pPr>
      <w:r>
        <w:rPr>
          <w:rFonts w:ascii="Georgia" w:hAnsi="Georgia"/>
          <w:b w:val="0"/>
          <w:color w:val="2F2E47"/>
          <w:sz w:val="21"/>
        </w:rPr>
        <w:t>Cuando surjan dificultades o posibles incumplimientos, cada situación se valora de manera objetiva, documentada y proporcional, según su naturaleza, gravedad, circunstancias y antecedentes. Se escucha la versión de la persona y, cuando corresponda, se aplican medidas correctivas o disciplinarias conforme a la legislación laboral. La terminación del contrato sin responsabilidad patronal procede únicamente cuando existe una causa legal debidamente acreditada y se cumplen los requisitos aplicables.</w:t>
      </w:r>
    </w:p>
    <w:p>
      <w:pPr>
        <w:spacing w:before="0" w:after="120" w:line="300" w:lineRule="auto"/>
      </w:pPr>
      <w:r>
        <w:rPr>
          <w:rFonts w:ascii="Georgia" w:hAnsi="Georgia"/>
          <w:b w:val="0"/>
          <w:color w:val="2F2E47"/>
          <w:sz w:val="21"/>
        </w:rPr>
        <w:t>Ninguna sanción es automática. Ejercer derechos laborales, presentar un reclamo o no aceptar una modificación contractual no constituyen, por sí mismos, faltas.</w:t>
      </w:r>
    </w:p>
    <w:p>
      <w:pPr>
        <w:spacing w:before="0" w:after="120" w:line="300" w:lineRule="auto"/>
      </w:pPr>
      <w:r>
        <w:rPr>
          <w:rFonts w:ascii="Georgia" w:hAnsi="Georgia"/>
          <w:b w:val="0"/>
          <w:color w:val="2F2E47"/>
          <w:sz w:val="21"/>
        </w:rPr>
        <w:t>Lo compartimos por transparencia, para que todas las personas conozcan el marco con la misma claridad. Nuestro interés es prevenir dificultades y resolverlas a tiempo, con diálogo y respeto mutuo.</w:t>
      </w:r>
    </w:p>
    <w:p>
      <w:pPr>
        <w:spacing w:before="0" w:after="120" w:line="300" w:lineRule="auto"/>
      </w:pPr>
      <w:r>
        <w:rPr>
          <w:rFonts w:ascii="Georgia" w:hAnsi="Georgia"/>
          <w:b w:val="0"/>
          <w:color w:val="2F2E47"/>
          <w:sz w:val="21"/>
        </w:rPr>
        <w:t>Este comunicado no modifica salarios, jornadas, funciones ni otras condiciones del contrato de trabajo.</w:t>
      </w:r>
    </w:p>
    <w:p>
      <w:pPr>
        <w:spacing w:before="0" w:after="120" w:line="300" w:lineRule="auto"/>
      </w:pPr>
      <w:r>
        <w:rPr>
          <w:rFonts w:ascii="Georgia" w:hAnsi="Georgia"/>
          <w:b w:val="0"/>
          <w:color w:val="2F2E47"/>
          <w:sz w:val="21"/>
        </w:rPr>
        <w:t>Gracias por el cuidado con que cada persona sostiene su trabajo. Quedamos a disposición para conversar sobre cualquiera de estos puntos.</w:t>
      </w:r>
    </w:p>
    <w:sectPr w:rsidR="00FC693F" w:rsidRPr="0006063C" w:rsidSect="00034616">
      <w:headerReference w:type="default" r:id="rId9"/>
      <w:footerReference w:type="default" r:id="rId10"/>
      <w:pgSz w:w="12240" w:h="15840"/>
      <w:pgMar w:top="1440"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b w:val="0"/>
        <w:color w:val="5C6684"/>
        <w:sz w:val="17"/>
      </w:rPr>
      <w:t xml:space="preserve">Página </w:t>
    </w:r>
    <w:r>
      <w:rPr>
        <w:color w:val="5C6684"/>
        <w:sz w:val="17"/>
      </w:rPr>
      <w:fldChar w:fldCharType="begin"/>
    </w:r>
    <w:r>
      <w:rPr>
        <w:color w:val="5C6684"/>
        <w:sz w:val="17"/>
      </w:rPr>
      <w:instrText xml:space="preserve">PAGE</w:instrText>
    </w:r>
    <w:r>
      <w:rPr>
        <w:color w:val="5C6684"/>
        <w:sz w:val="17"/>
      </w:rPr>
      <w:fldChar w:fldCharType="end"/>
    </w:r>
    <w:r>
      <w:rPr>
        <w:rFonts w:ascii="Georgia" w:hAnsi="Georgia"/>
        <w:b w:val="0"/>
        <w:color w:val="5C6684"/>
        <w:sz w:val="17"/>
      </w:rPr>
      <w:t xml:space="preserve"> de </w:t>
    </w:r>
    <w:r>
      <w:rPr>
        <w:color w:val="5C6684"/>
        <w:sz w:val="17"/>
      </w:rPr>
      <w:fldChar w:fldCharType="begin"/>
    </w:r>
    <w:r>
      <w:rPr>
        <w:color w:val="5C6684"/>
        <w:sz w:val="17"/>
      </w:rPr>
      <w:instrText xml:space="preserve">NUMPAGES</w:instrText>
    </w:r>
    <w:r>
      <w:rPr>
        <w:color w:val="5C6684"/>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b w:val="0"/>
        <w:color w:val="5C6684"/>
        <w:sz w:val="17"/>
      </w:rPr>
      <w:t>Grupo Poïesis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F2E4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C6684"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C6684"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C6684"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5C668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F2E47"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F2E47"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2F2E47"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5C6684"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2F2E47"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5C6684"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5C6684"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5C6684"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F2E47"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2F2E47"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C6684"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5C668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131237" w:themeColor="text1"/>
    </w:rPr>
  </w:style>
  <w:style w:type="character" w:customStyle="1" w:styleId="QuoteChar">
    <w:name w:val="Quote Char"/>
    <w:basedOn w:val="DefaultParagraphFont"/>
    <w:link w:val="Quote"/>
    <w:uiPriority w:val="29"/>
    <w:rsid w:val="00FC693F"/>
    <w:rPr>
      <w:i/>
      <w:iCs/>
      <w:color w:val="131237"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5C668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F2E47"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F2E47"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2F2E47"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5C668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2F2E47"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C668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5C6684" w:themeColor="accent1"/>
    </w:rPr>
  </w:style>
  <w:style w:type="character" w:customStyle="1" w:styleId="IntenseQuoteChar">
    <w:name w:val="Intense Quote Char"/>
    <w:basedOn w:val="DefaultParagraphFont"/>
    <w:link w:val="IntenseQuote"/>
    <w:uiPriority w:val="30"/>
    <w:rsid w:val="00FC693F"/>
    <w:rPr>
      <w:b/>
      <w:bCs/>
      <w:i/>
      <w:iCs/>
      <w:color w:val="5C6684" w:themeColor="accent1"/>
    </w:rPr>
  </w:style>
  <w:style w:type="character" w:styleId="SubtleEmphasis">
    <w:name w:val="Subtle Emphasis"/>
    <w:basedOn w:val="DefaultParagraphFont"/>
    <w:uiPriority w:val="19"/>
    <w:qFormat/>
    <w:rsid w:val="00FC693F"/>
    <w:rPr>
      <w:i/>
      <w:iCs/>
      <w:color w:val="5C6684" w:themeColor="text1" w:themeTint="7F"/>
    </w:rPr>
  </w:style>
  <w:style w:type="character" w:styleId="IntenseEmphasis">
    <w:name w:val="Intense Emphasis"/>
    <w:basedOn w:val="DefaultParagraphFont"/>
    <w:uiPriority w:val="21"/>
    <w:qFormat/>
    <w:rsid w:val="00FC693F"/>
    <w:rPr>
      <w:b/>
      <w:bCs/>
      <w:i/>
      <w:iCs/>
      <w:color w:val="5C6684" w:themeColor="accent1"/>
    </w:rPr>
  </w:style>
  <w:style w:type="character" w:styleId="SubtleReference">
    <w:name w:val="Subtle Reference"/>
    <w:basedOn w:val="DefaultParagraphFont"/>
    <w:uiPriority w:val="31"/>
    <w:qFormat/>
    <w:rsid w:val="00FC693F"/>
    <w:rPr>
      <w:smallCaps/>
      <w:color w:val="5C6684" w:themeColor="accent2"/>
      <w:u w:val="single"/>
    </w:rPr>
  </w:style>
  <w:style w:type="character" w:styleId="IntenseReference">
    <w:name w:val="Intense Reference"/>
    <w:basedOn w:val="DefaultParagraphFont"/>
    <w:uiPriority w:val="32"/>
    <w:qFormat/>
    <w:rsid w:val="00FC693F"/>
    <w:rPr>
      <w:b/>
      <w:bCs/>
      <w:smallCaps/>
      <w:color w:val="5C6684"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131237"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left w:val="nil"/>
          <w:right w:val="nil"/>
          <w:insideH w:val="nil"/>
          <w:insideV w:val="nil"/>
        </w:tcBorders>
        <w:shd w:val="clear" w:color="auto" w:fill="D1D0CB" w:themeFill="text1" w:themeFillTint="3F"/>
      </w:tcPr>
    </w:tblStylePr>
  </w:style>
  <w:style w:type="table" w:styleId="LightShading-Accent1">
    <w:name w:val="Light Shading Accent 1"/>
    <w:basedOn w:val="TableNormal"/>
    <w:uiPriority w:val="60"/>
    <w:rsid w:val="00FC693F"/>
    <w:pPr>
      <w:spacing w:after="0" w:line="240" w:lineRule="auto"/>
    </w:pPr>
    <w:rPr>
      <w:color w:val="5C6684"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left w:val="nil"/>
          <w:right w:val="nil"/>
          <w:insideH w:val="nil"/>
          <w:insideV w:val="nil"/>
        </w:tcBorders>
        <w:shd w:val="clear" w:color="auto" w:fill="D1D0CB" w:themeFill="accent1" w:themeFillTint="3F"/>
      </w:tcPr>
    </w:tblStylePr>
  </w:style>
  <w:style w:type="table" w:styleId="LightShading-Accent2">
    <w:name w:val="Light Shading Accent 2"/>
    <w:basedOn w:val="TableNormal"/>
    <w:uiPriority w:val="60"/>
    <w:rsid w:val="00FC693F"/>
    <w:pPr>
      <w:spacing w:after="0" w:line="240" w:lineRule="auto"/>
    </w:pPr>
    <w:rPr>
      <w:color w:val="2F2E47"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left w:val="nil"/>
          <w:right w:val="nil"/>
          <w:insideH w:val="nil"/>
          <w:insideV w:val="nil"/>
        </w:tcBorders>
        <w:shd w:val="clear" w:color="auto" w:fill="D1D0CB" w:themeFill="accent2" w:themeFillTint="3F"/>
      </w:tcPr>
    </w:tblStylePr>
  </w:style>
  <w:style w:type="table" w:styleId="LightShading-Accent3">
    <w:name w:val="Light Shading Accent 3"/>
    <w:basedOn w:val="TableNormal"/>
    <w:uiPriority w:val="60"/>
    <w:rsid w:val="00FC693F"/>
    <w:pPr>
      <w:spacing w:after="0" w:line="240" w:lineRule="auto"/>
    </w:pPr>
    <w:rPr>
      <w:color w:val="5C6684"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left w:val="nil"/>
          <w:right w:val="nil"/>
          <w:insideH w:val="nil"/>
          <w:insideV w:val="nil"/>
        </w:tcBorders>
        <w:shd w:val="clear" w:color="auto" w:fill="D1D0CB" w:themeFill="accent3" w:themeFillTint="3F"/>
      </w:tcPr>
    </w:tblStylePr>
  </w:style>
  <w:style w:type="table" w:styleId="LightShading-Accent4">
    <w:name w:val="Light Shading Accent 4"/>
    <w:basedOn w:val="TableNormal"/>
    <w:uiPriority w:val="60"/>
    <w:rsid w:val="00FC693F"/>
    <w:pPr>
      <w:spacing w:after="0" w:line="240" w:lineRule="auto"/>
    </w:pPr>
    <w:rPr>
      <w:color w:val="5C6684"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left w:val="nil"/>
          <w:right w:val="nil"/>
          <w:insideH w:val="nil"/>
          <w:insideV w:val="nil"/>
        </w:tcBorders>
        <w:shd w:val="clear" w:color="auto" w:fill="D1D0CB" w:themeFill="accent4" w:themeFillTint="3F"/>
      </w:tcPr>
    </w:tblStylePr>
  </w:style>
  <w:style w:type="table" w:styleId="LightShading-Accent5">
    <w:name w:val="Light Shading Accent 5"/>
    <w:basedOn w:val="TableNormal"/>
    <w:uiPriority w:val="60"/>
    <w:rsid w:val="00FC693F"/>
    <w:pPr>
      <w:spacing w:after="0" w:line="240" w:lineRule="auto"/>
    </w:pPr>
    <w:rPr>
      <w:color w:val="5C6684"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left w:val="nil"/>
          <w:right w:val="nil"/>
          <w:insideH w:val="nil"/>
          <w:insideV w:val="nil"/>
        </w:tcBorders>
        <w:shd w:val="clear" w:color="auto" w:fill="D1D0CB" w:themeFill="accent5" w:themeFillTint="3F"/>
      </w:tcPr>
    </w:tblStylePr>
  </w:style>
  <w:style w:type="table" w:styleId="LightShading-Accent6">
    <w:name w:val="Light Shading Accent 6"/>
    <w:basedOn w:val="TableNormal"/>
    <w:uiPriority w:val="60"/>
    <w:rsid w:val="00FC693F"/>
    <w:pPr>
      <w:spacing w:after="0" w:line="240" w:lineRule="auto"/>
    </w:pPr>
    <w:rPr>
      <w:color w:val="5C6684"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left w:val="nil"/>
          <w:right w:val="nil"/>
          <w:insideH w:val="nil"/>
          <w:insideV w:val="nil"/>
        </w:tcBorders>
        <w:shd w:val="clear" w:color="auto" w:fill="D1D0CB"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131237"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C6684"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D1D0CB"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1D0CB"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D1D0CB"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1D0CB"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1D0CB"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D1D0CB"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D1D0CB"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D1D0CB"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D1D0CB"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1D0CB"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1D0CB"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1D0CB"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1D0CB"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D1D0CB"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D1D0CB"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131237"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D1D0CB" w:themeFill="text1" w:themeFillTint="3F"/>
      </w:tcPr>
    </w:tblStylePr>
    <w:tblStylePr w:type="band1Horz">
      <w:tblPr/>
      <w:tcPr>
        <w:tcBorders>
          <w:insideH w:val="nil"/>
          <w:insideV w:val="nil"/>
        </w:tcBorders>
        <w:shd w:val="clear" w:color="auto" w:fill="D1D0C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5C6684"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1" w:themeFillTint="3F"/>
      </w:tcPr>
    </w:tblStylePr>
    <w:tblStylePr w:type="band1Horz">
      <w:tblPr/>
      <w:tcPr>
        <w:tcBorders>
          <w:insideH w:val="nil"/>
          <w:insideV w:val="nil"/>
        </w:tcBorders>
        <w:shd w:val="clear" w:color="auto" w:fill="D1D0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5C6684"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2" w:themeFillTint="3F"/>
      </w:tcPr>
    </w:tblStylePr>
    <w:tblStylePr w:type="band1Horz">
      <w:tblPr/>
      <w:tcPr>
        <w:tcBorders>
          <w:insideH w:val="nil"/>
          <w:insideV w:val="nil"/>
        </w:tcBorders>
        <w:shd w:val="clear" w:color="auto" w:fill="D1D0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5C6684"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3" w:themeFillTint="3F"/>
      </w:tcPr>
    </w:tblStylePr>
    <w:tblStylePr w:type="band1Horz">
      <w:tblPr/>
      <w:tcPr>
        <w:tcBorders>
          <w:insideH w:val="nil"/>
          <w:insideV w:val="nil"/>
        </w:tcBorders>
        <w:shd w:val="clear" w:color="auto" w:fill="D1D0C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5C6684"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4" w:themeFillTint="3F"/>
      </w:tcPr>
    </w:tblStylePr>
    <w:tblStylePr w:type="band1Horz">
      <w:tblPr/>
      <w:tcPr>
        <w:tcBorders>
          <w:insideH w:val="nil"/>
          <w:insideV w:val="nil"/>
        </w:tcBorders>
        <w:shd w:val="clear" w:color="auto" w:fill="D1D0C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5C6684"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5" w:themeFillTint="3F"/>
      </w:tcPr>
    </w:tblStylePr>
    <w:tblStylePr w:type="band1Horz">
      <w:tblPr/>
      <w:tcPr>
        <w:tcBorders>
          <w:insideH w:val="nil"/>
          <w:insideV w:val="nil"/>
        </w:tcBorders>
        <w:shd w:val="clear" w:color="auto" w:fill="D1D0C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D1D0CB"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D1D0CB" w:themeFill="accent6" w:themeFillTint="3F"/>
      </w:tcPr>
    </w:tblStylePr>
    <w:tblStylePr w:type="band1Horz">
      <w:tblPr/>
      <w:tcPr>
        <w:tcBorders>
          <w:insideH w:val="nil"/>
          <w:insideV w:val="nil"/>
        </w:tcBorders>
        <w:shd w:val="clear" w:color="auto" w:fill="D1D0C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31237"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31237" w:themeFill="text1"/>
      </w:tcPr>
    </w:tblStylePr>
    <w:tblStylePr w:type="lastCol">
      <w:rPr>
        <w:b/>
        <w:bCs/>
        <w:color w:val="FFFFFF" w:themeColor="background1"/>
      </w:rPr>
      <w:tblPr/>
      <w:tcPr>
        <w:tcBorders>
          <w:left w:val="nil"/>
          <w:right w:val="nil"/>
          <w:insideH w:val="nil"/>
          <w:insideV w:val="nil"/>
        </w:tcBorders>
        <w:shd w:val="clear" w:color="auto" w:fill="131237" w:themeFill="tex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1"/>
      </w:tcPr>
    </w:tblStylePr>
    <w:tblStylePr w:type="lastCol">
      <w:rPr>
        <w:b/>
        <w:bCs/>
        <w:color w:val="FFFFFF" w:themeColor="background1"/>
      </w:rPr>
      <w:tblPr/>
      <w:tcPr>
        <w:tcBorders>
          <w:left w:val="nil"/>
          <w:right w:val="nil"/>
          <w:insideH w:val="nil"/>
          <w:insideV w:val="nil"/>
        </w:tcBorders>
        <w:shd w:val="clear" w:color="auto" w:fill="5C6684" w:themeFill="accent1"/>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2"/>
      </w:tcPr>
    </w:tblStylePr>
    <w:tblStylePr w:type="lastCol">
      <w:rPr>
        <w:b/>
        <w:bCs/>
        <w:color w:val="FFFFFF" w:themeColor="background1"/>
      </w:rPr>
      <w:tblPr/>
      <w:tcPr>
        <w:tcBorders>
          <w:left w:val="nil"/>
          <w:right w:val="nil"/>
          <w:insideH w:val="nil"/>
          <w:insideV w:val="nil"/>
        </w:tcBorders>
        <w:shd w:val="clear" w:color="auto" w:fill="5C6684" w:themeFill="accent2"/>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3"/>
      </w:tcPr>
    </w:tblStylePr>
    <w:tblStylePr w:type="lastCol">
      <w:rPr>
        <w:b/>
        <w:bCs/>
        <w:color w:val="FFFFFF" w:themeColor="background1"/>
      </w:rPr>
      <w:tblPr/>
      <w:tcPr>
        <w:tcBorders>
          <w:left w:val="nil"/>
          <w:right w:val="nil"/>
          <w:insideH w:val="nil"/>
          <w:insideV w:val="nil"/>
        </w:tcBorders>
        <w:shd w:val="clear" w:color="auto" w:fill="5C6684" w:themeFill="accent3"/>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4"/>
      </w:tcPr>
    </w:tblStylePr>
    <w:tblStylePr w:type="lastCol">
      <w:rPr>
        <w:b/>
        <w:bCs/>
        <w:color w:val="FFFFFF" w:themeColor="background1"/>
      </w:rPr>
      <w:tblPr/>
      <w:tcPr>
        <w:tcBorders>
          <w:left w:val="nil"/>
          <w:right w:val="nil"/>
          <w:insideH w:val="nil"/>
          <w:insideV w:val="nil"/>
        </w:tcBorders>
        <w:shd w:val="clear" w:color="auto" w:fill="5C6684" w:themeFill="accent4"/>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C668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C6684" w:themeFill="accent5"/>
      </w:tcPr>
    </w:tblStylePr>
    <w:tblStylePr w:type="lastCol">
      <w:rPr>
        <w:b/>
        <w:bCs/>
        <w:color w:val="FFFFFF" w:themeColor="background1"/>
      </w:rPr>
      <w:tblPr/>
      <w:tcPr>
        <w:tcBorders>
          <w:left w:val="nil"/>
          <w:right w:val="nil"/>
          <w:insideH w:val="nil"/>
          <w:insideV w:val="nil"/>
        </w:tcBorders>
        <w:shd w:val="clear" w:color="auto" w:fill="5C6684" w:themeFill="accent5"/>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D0CB"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1D0CB" w:themeFill="accent6"/>
      </w:tcPr>
    </w:tblStylePr>
    <w:tblStylePr w:type="lastCol">
      <w:rPr>
        <w:b/>
        <w:bCs/>
        <w:color w:val="FFFFFF" w:themeColor="background1"/>
      </w:rPr>
      <w:tblPr/>
      <w:tcPr>
        <w:tcBorders>
          <w:left w:val="nil"/>
          <w:right w:val="nil"/>
          <w:insideH w:val="nil"/>
          <w:insideV w:val="nil"/>
        </w:tcBorders>
        <w:shd w:val="clear" w:color="auto" w:fill="D1D0CB" w:themeFill="accent6"/>
      </w:tcPr>
    </w:tblStylePr>
    <w:tblStylePr w:type="band1Vert">
      <w:tblPr/>
      <w:tcPr>
        <w:tcBorders>
          <w:left w:val="nil"/>
          <w:right w:val="nil"/>
          <w:insideH w:val="nil"/>
          <w:insideV w:val="nil"/>
        </w:tcBorders>
        <w:shd w:val="clear" w:color="auto" w:fill="D1D0CB" w:themeFill="background1" w:themeFillShade="D8"/>
      </w:tcPr>
    </w:tblStylePr>
    <w:tblStylePr w:type="band1Horz">
      <w:tblPr/>
      <w:tcPr>
        <w:shd w:val="clear" w:color="auto" w:fill="D1D0CB"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F2E47"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D1D0CB" w:themeFill="text1" w:themeFillTint="3F"/>
      </w:tcPr>
    </w:tblStylePr>
    <w:tblStylePr w:type="band1Horz">
      <w:tblPr/>
      <w:tcPr>
        <w:shd w:val="clear" w:color="auto" w:fill="D1D0CB" w:themeFill="text1" w:themeFillTint="3F"/>
      </w:tcPr>
    </w:tblStylePr>
  </w:style>
  <w:style w:type="table" w:styleId="MediumList1-Accent1">
    <w:name w:val="Medium List 1 Accent 1"/>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2F2E47"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1D0CB" w:themeFill="accent1" w:themeFillTint="3F"/>
      </w:tcPr>
    </w:tblStylePr>
    <w:tblStylePr w:type="band1Horz">
      <w:tblPr/>
      <w:tcPr>
        <w:shd w:val="clear" w:color="auto" w:fill="D1D0CB" w:themeFill="accent1" w:themeFillTint="3F"/>
      </w:tcPr>
    </w:tblStylePr>
  </w:style>
  <w:style w:type="table" w:styleId="MediumList1-Accent2">
    <w:name w:val="Medium List 1 Accent 2"/>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2F2E47"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D1D0CB" w:themeFill="accent2" w:themeFillTint="3F"/>
      </w:tcPr>
    </w:tblStylePr>
    <w:tblStylePr w:type="band1Horz">
      <w:tblPr/>
      <w:tcPr>
        <w:shd w:val="clear" w:color="auto" w:fill="D1D0CB" w:themeFill="accent2" w:themeFillTint="3F"/>
      </w:tcPr>
    </w:tblStylePr>
  </w:style>
  <w:style w:type="table" w:styleId="MediumList1-Accent3">
    <w:name w:val="Medium List 1 Accent 3"/>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2F2E47"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D1D0CB" w:themeFill="accent3" w:themeFillTint="3F"/>
      </w:tcPr>
    </w:tblStylePr>
    <w:tblStylePr w:type="band1Horz">
      <w:tblPr/>
      <w:tcPr>
        <w:shd w:val="clear" w:color="auto" w:fill="D1D0CB" w:themeFill="accent3" w:themeFillTint="3F"/>
      </w:tcPr>
    </w:tblStylePr>
  </w:style>
  <w:style w:type="table" w:styleId="MediumList1-Accent4">
    <w:name w:val="Medium List 1 Accent 4"/>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2F2E47"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1D0CB" w:themeFill="accent4" w:themeFillTint="3F"/>
      </w:tcPr>
    </w:tblStylePr>
    <w:tblStylePr w:type="band1Horz">
      <w:tblPr/>
      <w:tcPr>
        <w:shd w:val="clear" w:color="auto" w:fill="D1D0CB" w:themeFill="accent4" w:themeFillTint="3F"/>
      </w:tcPr>
    </w:tblStylePr>
  </w:style>
  <w:style w:type="table" w:styleId="MediumList1-Accent5">
    <w:name w:val="Medium List 1 Accent 5"/>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2F2E47"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1D0CB" w:themeFill="accent5" w:themeFillTint="3F"/>
      </w:tcPr>
    </w:tblStylePr>
    <w:tblStylePr w:type="band1Horz">
      <w:tblPr/>
      <w:tcPr>
        <w:shd w:val="clear" w:color="auto" w:fill="D1D0CB" w:themeFill="accent5" w:themeFillTint="3F"/>
      </w:tcPr>
    </w:tblStylePr>
  </w:style>
  <w:style w:type="table" w:styleId="MediumList1-Accent6">
    <w:name w:val="Medium List 1 Accent 6"/>
    <w:basedOn w:val="TableNormal"/>
    <w:uiPriority w:val="65"/>
    <w:rsid w:val="00CB0664"/>
    <w:pPr>
      <w:spacing w:after="0" w:line="240" w:lineRule="auto"/>
    </w:pPr>
    <w:rPr>
      <w:color w:val="131237"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2F2E47"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D1D0CB" w:themeFill="accent6" w:themeFillTint="3F"/>
      </w:tcPr>
    </w:tblStylePr>
    <w:tblStylePr w:type="band1Horz">
      <w:tblPr/>
      <w:tcPr>
        <w:shd w:val="clear" w:color="auto" w:fill="D1D0CB"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text1" w:themeFillTint="3F"/>
      </w:tcPr>
    </w:tblStylePr>
    <w:tblStylePr w:type="band1Horz">
      <w:tblPr/>
      <w:tcPr>
        <w:tcBorders>
          <w:top w:val="nil"/>
          <w:bottom w:val="nil"/>
          <w:insideH w:val="nil"/>
          <w:insideV w:val="nil"/>
        </w:tcBorders>
        <w:shd w:val="clear" w:color="auto" w:fill="D1D0CB"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1" w:themeFillTint="3F"/>
      </w:tcPr>
    </w:tblStylePr>
    <w:tblStylePr w:type="band1Horz">
      <w:tblPr/>
      <w:tcPr>
        <w:tcBorders>
          <w:top w:val="nil"/>
          <w:bottom w:val="nil"/>
          <w:insideH w:val="nil"/>
          <w:insideV w:val="nil"/>
        </w:tcBorders>
        <w:shd w:val="clear" w:color="auto" w:fill="D1D0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2" w:themeFillTint="3F"/>
      </w:tcPr>
    </w:tblStylePr>
    <w:tblStylePr w:type="band1Horz">
      <w:tblPr/>
      <w:tcPr>
        <w:tcBorders>
          <w:top w:val="nil"/>
          <w:bottom w:val="nil"/>
          <w:insideH w:val="nil"/>
          <w:insideV w:val="nil"/>
        </w:tcBorders>
        <w:shd w:val="clear" w:color="auto" w:fill="D1D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3" w:themeFillTint="3F"/>
      </w:tcPr>
    </w:tblStylePr>
    <w:tblStylePr w:type="band1Horz">
      <w:tblPr/>
      <w:tcPr>
        <w:tcBorders>
          <w:top w:val="nil"/>
          <w:bottom w:val="nil"/>
          <w:insideH w:val="nil"/>
          <w:insideV w:val="nil"/>
        </w:tcBorders>
        <w:shd w:val="clear" w:color="auto" w:fill="D1D0C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4" w:themeFillTint="3F"/>
      </w:tcPr>
    </w:tblStylePr>
    <w:tblStylePr w:type="band1Horz">
      <w:tblPr/>
      <w:tcPr>
        <w:tcBorders>
          <w:top w:val="nil"/>
          <w:bottom w:val="nil"/>
          <w:insideH w:val="nil"/>
          <w:insideV w:val="nil"/>
        </w:tcBorders>
        <w:shd w:val="clear" w:color="auto" w:fill="D1D0CB"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5" w:themeFillTint="3F"/>
      </w:tcPr>
    </w:tblStylePr>
    <w:tblStylePr w:type="band1Horz">
      <w:tblPr/>
      <w:tcPr>
        <w:tcBorders>
          <w:top w:val="nil"/>
          <w:bottom w:val="nil"/>
          <w:insideH w:val="nil"/>
          <w:insideV w:val="nil"/>
        </w:tcBorders>
        <w:shd w:val="clear" w:color="auto" w:fill="D1D0C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0CB" w:themeFill="accent6" w:themeFillTint="3F"/>
      </w:tcPr>
    </w:tblStylePr>
    <w:tblStylePr w:type="band1Horz">
      <w:tblPr/>
      <w:tcPr>
        <w:tcBorders>
          <w:top w:val="nil"/>
          <w:bottom w:val="nil"/>
          <w:insideH w:val="nil"/>
          <w:insideV w:val="nil"/>
        </w:tcBorders>
        <w:shd w:val="clear" w:color="auto" w:fill="D1D0C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D1D0CB"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1D0CB"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D1D0CB"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D1D0CB"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1D0CB"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1D0CB"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D1D0CB"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D1D0CB" w:themeFill="text1" w:themeFillTint="3F"/>
    </w:tcPr>
    <w:tblStylePr w:type="firstRow">
      <w:rPr>
        <w:b/>
        <w:bCs/>
        <w:color w:val="131237" w:themeColor="text1"/>
      </w:rPr>
      <w:tblPr/>
      <w:tcPr>
        <w:shd w:val="clear" w:color="auto" w:fill="D1D0CB" w:themeFill="tex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text1" w:themeFillTint="33"/>
      </w:tcPr>
    </w:tblStylePr>
    <w:tblStylePr w:type="band1Vert">
      <w:tblPr/>
      <w:tcPr>
        <w:shd w:val="clear" w:color="auto" w:fill="5C6684" w:themeFill="text1" w:themeFillTint="7F"/>
      </w:tcPr>
    </w:tblStylePr>
    <w:tblStylePr w:type="band1Horz">
      <w:tblPr/>
      <w:tcPr>
        <w:tcBorders>
          <w:insideH w:val="single" w:sz="6" w:space="0" w:color="000000" w:themeColor="text1"/>
          <w:insideV w:val="single" w:sz="6" w:space="0" w:color="000000" w:themeColor="text1"/>
        </w:tcBorders>
        <w:shd w:val="clear" w:color="auto" w:fill="5C668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1D0CB" w:themeFill="accent1" w:themeFillTint="3F"/>
    </w:tcPr>
    <w:tblStylePr w:type="firstRow">
      <w:rPr>
        <w:b/>
        <w:bCs/>
        <w:color w:val="131237" w:themeColor="text1"/>
      </w:rPr>
      <w:tblPr/>
      <w:tcPr>
        <w:shd w:val="clear" w:color="auto" w:fill="FFFFFF" w:themeFill="accent1"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1" w:themeFillTint="33"/>
      </w:tcPr>
    </w:tblStylePr>
    <w:tblStylePr w:type="band1Vert">
      <w:tblPr/>
      <w:tcPr>
        <w:shd w:val="clear" w:color="auto" w:fill="D1D0CB" w:themeFill="accent1" w:themeFillTint="7F"/>
      </w:tcPr>
    </w:tblStylePr>
    <w:tblStylePr w:type="band1Horz">
      <w:tblPr/>
      <w:tcPr>
        <w:tcBorders>
          <w:insideH w:val="single" w:sz="6" w:space="0" w:color="4F81BD" w:themeColor="accent1"/>
          <w:insideV w:val="single" w:sz="6" w:space="0" w:color="4F81BD" w:themeColor="accent1"/>
        </w:tcBorders>
        <w:shd w:val="clear" w:color="auto" w:fill="D1D0C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D1D0CB" w:themeFill="accent2" w:themeFillTint="3F"/>
    </w:tcPr>
    <w:tblStylePr w:type="firstRow">
      <w:rPr>
        <w:b/>
        <w:bCs/>
        <w:color w:val="131237" w:themeColor="text1"/>
      </w:rPr>
      <w:tblPr/>
      <w:tcPr>
        <w:shd w:val="clear" w:color="auto" w:fill="FFFFFF" w:themeFill="accent2"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2" w:themeFillTint="33"/>
      </w:tcPr>
    </w:tblStylePr>
    <w:tblStylePr w:type="band1Vert">
      <w:tblPr/>
      <w:tcPr>
        <w:shd w:val="clear" w:color="auto" w:fill="D1D0CB" w:themeFill="accent2" w:themeFillTint="7F"/>
      </w:tcPr>
    </w:tblStylePr>
    <w:tblStylePr w:type="band1Horz">
      <w:tblPr/>
      <w:tcPr>
        <w:tcBorders>
          <w:insideH w:val="single" w:sz="6" w:space="0" w:color="C0504D" w:themeColor="accent2"/>
          <w:insideV w:val="single" w:sz="6" w:space="0" w:color="C0504D" w:themeColor="accent2"/>
        </w:tcBorders>
        <w:shd w:val="clear" w:color="auto" w:fill="D1D0CB"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D1D0CB" w:themeFill="accent3" w:themeFillTint="3F"/>
    </w:tcPr>
    <w:tblStylePr w:type="firstRow">
      <w:rPr>
        <w:b/>
        <w:bCs/>
        <w:color w:val="131237" w:themeColor="text1"/>
      </w:rPr>
      <w:tblPr/>
      <w:tcPr>
        <w:shd w:val="clear" w:color="auto" w:fill="FFFFFF" w:themeFill="accent3"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3" w:themeFillTint="33"/>
      </w:tcPr>
    </w:tblStylePr>
    <w:tblStylePr w:type="band1Vert">
      <w:tblPr/>
      <w:tcPr>
        <w:shd w:val="clear" w:color="auto" w:fill="D1D0CB" w:themeFill="accent3" w:themeFillTint="7F"/>
      </w:tcPr>
    </w:tblStylePr>
    <w:tblStylePr w:type="band1Horz">
      <w:tblPr/>
      <w:tcPr>
        <w:tcBorders>
          <w:insideH w:val="single" w:sz="6" w:space="0" w:color="9BBB59" w:themeColor="accent3"/>
          <w:insideV w:val="single" w:sz="6" w:space="0" w:color="9BBB59" w:themeColor="accent3"/>
        </w:tcBorders>
        <w:shd w:val="clear" w:color="auto" w:fill="D1D0C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1D0CB" w:themeFill="accent4" w:themeFillTint="3F"/>
    </w:tcPr>
    <w:tblStylePr w:type="firstRow">
      <w:rPr>
        <w:b/>
        <w:bCs/>
        <w:color w:val="131237" w:themeColor="text1"/>
      </w:rPr>
      <w:tblPr/>
      <w:tcPr>
        <w:shd w:val="clear" w:color="auto" w:fill="FFFFFF" w:themeFill="accent4"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D1D0CB" w:themeFill="accent4" w:themeFillTint="33"/>
      </w:tcPr>
    </w:tblStylePr>
    <w:tblStylePr w:type="band1Vert">
      <w:tblPr/>
      <w:tcPr>
        <w:shd w:val="clear" w:color="auto" w:fill="D1D0CB" w:themeFill="accent4" w:themeFillTint="7F"/>
      </w:tcPr>
    </w:tblStylePr>
    <w:tblStylePr w:type="band1Horz">
      <w:tblPr/>
      <w:tcPr>
        <w:tcBorders>
          <w:insideH w:val="single" w:sz="6" w:space="0" w:color="8064A2" w:themeColor="accent4"/>
          <w:insideV w:val="single" w:sz="6" w:space="0" w:color="8064A2" w:themeColor="accent4"/>
        </w:tcBorders>
        <w:shd w:val="clear" w:color="auto" w:fill="D1D0CB"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1D0CB" w:themeFill="accent5" w:themeFillTint="3F"/>
    </w:tcPr>
    <w:tblStylePr w:type="firstRow">
      <w:rPr>
        <w:b/>
        <w:bCs/>
        <w:color w:val="131237" w:themeColor="text1"/>
      </w:rPr>
      <w:tblPr/>
      <w:tcPr>
        <w:shd w:val="clear" w:color="auto" w:fill="FFFFFF" w:themeFill="accent5"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5" w:themeFillTint="33"/>
      </w:tcPr>
    </w:tblStylePr>
    <w:tblStylePr w:type="band1Vert">
      <w:tblPr/>
      <w:tcPr>
        <w:shd w:val="clear" w:color="auto" w:fill="D1D0CB" w:themeFill="accent5" w:themeFillTint="7F"/>
      </w:tcPr>
    </w:tblStylePr>
    <w:tblStylePr w:type="band1Horz">
      <w:tblPr/>
      <w:tcPr>
        <w:tcBorders>
          <w:insideH w:val="single" w:sz="6" w:space="0" w:color="4BACC6" w:themeColor="accent5"/>
          <w:insideV w:val="single" w:sz="6" w:space="0" w:color="4BACC6" w:themeColor="accent5"/>
        </w:tcBorders>
        <w:shd w:val="clear" w:color="auto" w:fill="D1D0CB"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131237"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D1D0CB" w:themeFill="accent6" w:themeFillTint="3F"/>
    </w:tcPr>
    <w:tblStylePr w:type="firstRow">
      <w:rPr>
        <w:b/>
        <w:bCs/>
        <w:color w:val="131237" w:themeColor="text1"/>
      </w:rPr>
      <w:tblPr/>
      <w:tcPr>
        <w:shd w:val="clear" w:color="auto" w:fill="FFFFFF" w:themeFill="accent6" w:themeFillTint="19"/>
      </w:tcPr>
    </w:tblStylePr>
    <w:tblStylePr w:type="lastRow">
      <w:rPr>
        <w:b/>
        <w:bCs/>
        <w:color w:val="131237"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131237"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131237" w:themeColor="text1"/>
      </w:rPr>
      <w:tblPr/>
      <w:tcPr>
        <w:tcBorders>
          <w:top w:val="nil"/>
          <w:left w:val="nil"/>
          <w:bottom w:val="nil"/>
          <w:right w:val="nil"/>
          <w:insideH w:val="nil"/>
          <w:insideV w:val="nil"/>
        </w:tcBorders>
        <w:shd w:val="clear" w:color="auto" w:fill="FFFFFF" w:themeFill="accent6" w:themeFillTint="33"/>
      </w:tcPr>
    </w:tblStylePr>
    <w:tblStylePr w:type="band1Vert">
      <w:tblPr/>
      <w:tcPr>
        <w:shd w:val="clear" w:color="auto" w:fill="D1D0CB" w:themeFill="accent6" w:themeFillTint="7F"/>
      </w:tcPr>
    </w:tblStylePr>
    <w:tblStylePr w:type="band1Horz">
      <w:tblPr/>
      <w:tcPr>
        <w:tcBorders>
          <w:insideH w:val="single" w:sz="6" w:space="0" w:color="F79646" w:themeColor="accent6"/>
          <w:insideV w:val="single" w:sz="6" w:space="0" w:color="F79646" w:themeColor="accent6"/>
        </w:tcBorders>
        <w:shd w:val="clear" w:color="auto" w:fill="D1D0C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31237"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31237"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31237"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C668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C6684"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C668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C668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C668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1D0C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D0CB"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D0CB"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D0CB"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1D0C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1D0C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131237" w:themeFill="tex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131237"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13123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131237" w:themeFill="text1" w:themeFillShade="BF"/>
      </w:tcPr>
    </w:tblStylePr>
    <w:tblStylePr w:type="band1Vert">
      <w:tblPr/>
      <w:tcPr>
        <w:tcBorders>
          <w:top w:val="nil"/>
          <w:left w:val="nil"/>
          <w:bottom w:val="nil"/>
          <w:right w:val="nil"/>
          <w:insideH w:val="nil"/>
          <w:insideV w:val="nil"/>
        </w:tcBorders>
        <w:shd w:val="clear" w:color="auto" w:fill="131237" w:themeFill="text1" w:themeFillShade="BF"/>
      </w:tcPr>
    </w:tblStylePr>
    <w:tblStylePr w:type="band1Horz">
      <w:tblPr/>
      <w:tcPr>
        <w:tcBorders>
          <w:top w:val="nil"/>
          <w:left w:val="nil"/>
          <w:bottom w:val="nil"/>
          <w:right w:val="nil"/>
          <w:insideH w:val="nil"/>
          <w:insideV w:val="nil"/>
        </w:tcBorders>
        <w:shd w:val="clear" w:color="auto" w:fill="131237"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1" w:themeFillShade="BF"/>
      </w:tcPr>
    </w:tblStylePr>
    <w:tblStylePr w:type="band1Vert">
      <w:tblPr/>
      <w:tcPr>
        <w:tcBorders>
          <w:top w:val="nil"/>
          <w:left w:val="nil"/>
          <w:bottom w:val="nil"/>
          <w:right w:val="nil"/>
          <w:insideH w:val="nil"/>
          <w:insideV w:val="nil"/>
        </w:tcBorders>
        <w:shd w:val="clear" w:color="auto" w:fill="5C6684" w:themeFill="accent1" w:themeFillShade="BF"/>
      </w:tcPr>
    </w:tblStylePr>
    <w:tblStylePr w:type="band1Horz">
      <w:tblPr/>
      <w:tcPr>
        <w:tcBorders>
          <w:top w:val="nil"/>
          <w:left w:val="nil"/>
          <w:bottom w:val="nil"/>
          <w:right w:val="nil"/>
          <w:insideH w:val="nil"/>
          <w:insideV w:val="nil"/>
        </w:tcBorders>
        <w:shd w:val="clear" w:color="auto" w:fill="5C6684"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F2E4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F2E47" w:themeFill="accent2" w:themeFillShade="BF"/>
      </w:tcPr>
    </w:tblStylePr>
    <w:tblStylePr w:type="band1Vert">
      <w:tblPr/>
      <w:tcPr>
        <w:tcBorders>
          <w:top w:val="nil"/>
          <w:left w:val="nil"/>
          <w:bottom w:val="nil"/>
          <w:right w:val="nil"/>
          <w:insideH w:val="nil"/>
          <w:insideV w:val="nil"/>
        </w:tcBorders>
        <w:shd w:val="clear" w:color="auto" w:fill="2F2E47" w:themeFill="accent2" w:themeFillShade="BF"/>
      </w:tcPr>
    </w:tblStylePr>
    <w:tblStylePr w:type="band1Horz">
      <w:tblPr/>
      <w:tcPr>
        <w:tcBorders>
          <w:top w:val="nil"/>
          <w:left w:val="nil"/>
          <w:bottom w:val="nil"/>
          <w:right w:val="nil"/>
          <w:insideH w:val="nil"/>
          <w:insideV w:val="nil"/>
        </w:tcBorders>
        <w:shd w:val="clear" w:color="auto" w:fill="2F2E4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3" w:themeFillShade="BF"/>
      </w:tcPr>
    </w:tblStylePr>
    <w:tblStylePr w:type="band1Vert">
      <w:tblPr/>
      <w:tcPr>
        <w:tcBorders>
          <w:top w:val="nil"/>
          <w:left w:val="nil"/>
          <w:bottom w:val="nil"/>
          <w:right w:val="nil"/>
          <w:insideH w:val="nil"/>
          <w:insideV w:val="nil"/>
        </w:tcBorders>
        <w:shd w:val="clear" w:color="auto" w:fill="5C6684" w:themeFill="accent3" w:themeFillShade="BF"/>
      </w:tcPr>
    </w:tblStylePr>
    <w:tblStylePr w:type="band1Horz">
      <w:tblPr/>
      <w:tcPr>
        <w:tcBorders>
          <w:top w:val="nil"/>
          <w:left w:val="nil"/>
          <w:bottom w:val="nil"/>
          <w:right w:val="nil"/>
          <w:insideH w:val="nil"/>
          <w:insideV w:val="nil"/>
        </w:tcBorders>
        <w:shd w:val="clear" w:color="auto" w:fill="5C6684"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4" w:themeFillShade="BF"/>
      </w:tcPr>
    </w:tblStylePr>
    <w:tblStylePr w:type="band1Vert">
      <w:tblPr/>
      <w:tcPr>
        <w:tcBorders>
          <w:top w:val="nil"/>
          <w:left w:val="nil"/>
          <w:bottom w:val="nil"/>
          <w:right w:val="nil"/>
          <w:insideH w:val="nil"/>
          <w:insideV w:val="nil"/>
        </w:tcBorders>
        <w:shd w:val="clear" w:color="auto" w:fill="5C6684" w:themeFill="accent4" w:themeFillShade="BF"/>
      </w:tcPr>
    </w:tblStylePr>
    <w:tblStylePr w:type="band1Horz">
      <w:tblPr/>
      <w:tcPr>
        <w:tcBorders>
          <w:top w:val="nil"/>
          <w:left w:val="nil"/>
          <w:bottom w:val="nil"/>
          <w:right w:val="nil"/>
          <w:insideH w:val="nil"/>
          <w:insideV w:val="nil"/>
        </w:tcBorders>
        <w:shd w:val="clear" w:color="auto" w:fill="5C6684"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C668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5" w:themeFillShade="BF"/>
      </w:tcPr>
    </w:tblStylePr>
    <w:tblStylePr w:type="band1Vert">
      <w:tblPr/>
      <w:tcPr>
        <w:tcBorders>
          <w:top w:val="nil"/>
          <w:left w:val="nil"/>
          <w:bottom w:val="nil"/>
          <w:right w:val="nil"/>
          <w:insideH w:val="nil"/>
          <w:insideV w:val="nil"/>
        </w:tcBorders>
        <w:shd w:val="clear" w:color="auto" w:fill="5C6684" w:themeFill="accent5" w:themeFillShade="BF"/>
      </w:tcPr>
    </w:tblStylePr>
    <w:tblStylePr w:type="band1Horz">
      <w:tblPr/>
      <w:tcPr>
        <w:tcBorders>
          <w:top w:val="nil"/>
          <w:left w:val="nil"/>
          <w:bottom w:val="nil"/>
          <w:right w:val="nil"/>
          <w:insideH w:val="nil"/>
          <w:insideV w:val="nil"/>
        </w:tcBorders>
        <w:shd w:val="clear" w:color="auto" w:fill="5C6684"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D1D0CB"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131237" w:themeFill="text1"/>
      </w:tcPr>
    </w:tblStylePr>
    <w:tblStylePr w:type="lastRow">
      <w:tblPr/>
      <w:tcPr>
        <w:tcBorders>
          <w:top w:val="single" w:sz="18" w:space="0" w:color="FFFFFF" w:themeColor="background1"/>
          <w:left w:val="nil"/>
          <w:bottom w:val="nil"/>
          <w:right w:val="nil"/>
          <w:insideH w:val="nil"/>
          <w:insideV w:val="nil"/>
        </w:tcBorders>
        <w:shd w:val="clear" w:color="auto" w:fill="2F2E4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C668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C6684" w:themeFill="accent6" w:themeFillShade="BF"/>
      </w:tcPr>
    </w:tblStylePr>
    <w:tblStylePr w:type="band1Vert">
      <w:tblPr/>
      <w:tcPr>
        <w:tcBorders>
          <w:top w:val="nil"/>
          <w:left w:val="nil"/>
          <w:bottom w:val="nil"/>
          <w:right w:val="nil"/>
          <w:insideH w:val="nil"/>
          <w:insideV w:val="nil"/>
        </w:tcBorders>
        <w:shd w:val="clear" w:color="auto" w:fill="5C6684" w:themeFill="accent6" w:themeFillShade="BF"/>
      </w:tcPr>
    </w:tblStylePr>
    <w:tblStylePr w:type="band1Horz">
      <w:tblPr/>
      <w:tcPr>
        <w:tcBorders>
          <w:top w:val="nil"/>
          <w:left w:val="nil"/>
          <w:bottom w:val="nil"/>
          <w:right w:val="nil"/>
          <w:insideH w:val="nil"/>
          <w:insideV w:val="nil"/>
        </w:tcBorders>
        <w:shd w:val="clear" w:color="auto" w:fill="5C6684" w:themeFill="accent6" w:themeFillShade="BF"/>
      </w:tcPr>
    </w:tblStylePr>
  </w:style>
  <w:style w:type="table" w:styleId="ColorfulShading">
    <w:name w:val="Colorful Shading"/>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1D0CB"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31237"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131237"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131237" w:themeFill="text1" w:themeFillShade="BF"/>
      </w:tcPr>
    </w:tblStylePr>
    <w:tblStylePr w:type="band1Vert">
      <w:tblPr/>
      <w:tcPr>
        <w:shd w:val="clear" w:color="auto" w:fill="5C6684" w:themeFill="text1" w:themeFillTint="66"/>
      </w:tcPr>
    </w:tblStylePr>
    <w:tblStylePr w:type="band1Horz">
      <w:tblPr/>
      <w:tcPr>
        <w:shd w:val="clear" w:color="auto" w:fill="5C6684" w:themeFill="text1" w:themeFillTint="7F"/>
      </w:tcPr>
    </w:tblStylePr>
    <w:tblStylePr w:type="neCell">
      <w:rPr>
        <w:color w:val="131237" w:themeColor="text1"/>
      </w:rPr>
    </w:tblStylePr>
    <w:tblStylePr w:type="nwCell">
      <w:rPr>
        <w:color w:val="131237" w:themeColor="text1"/>
      </w:rPr>
    </w:tblStylePr>
  </w:style>
  <w:style w:type="table" w:styleId="ColorfulShading-Accent1">
    <w:name w:val="Colorful Shading Accent 1"/>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F2E47"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1" w:themeFillShade="99"/>
      </w:tcPr>
    </w:tblStylePr>
    <w:tblStylePr w:type="band1Vert">
      <w:tblPr/>
      <w:tcPr>
        <w:shd w:val="clear" w:color="auto" w:fill="D1D0CB" w:themeFill="accent1" w:themeFillTint="66"/>
      </w:tcPr>
    </w:tblStylePr>
    <w:tblStylePr w:type="band1Horz">
      <w:tblPr/>
      <w:tcPr>
        <w:shd w:val="clear" w:color="auto" w:fill="D1D0CB" w:themeFill="accent1" w:themeFillTint="7F"/>
      </w:tcPr>
    </w:tblStylePr>
    <w:tblStylePr w:type="neCell">
      <w:rPr>
        <w:color w:val="131237" w:themeColor="text1"/>
      </w:rPr>
    </w:tblStylePr>
    <w:tblStylePr w:type="nwCell">
      <w:rPr>
        <w:color w:val="131237" w:themeColor="text1"/>
      </w:rPr>
    </w:tblStylePr>
  </w:style>
  <w:style w:type="table" w:styleId="ColorfulShading-Accent2">
    <w:name w:val="Colorful Shading Accent 2"/>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2F2E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2" w:themeFillShade="99"/>
      </w:tcPr>
    </w:tblStylePr>
    <w:tblStylePr w:type="band1Vert">
      <w:tblPr/>
      <w:tcPr>
        <w:shd w:val="clear" w:color="auto" w:fill="D1D0CB" w:themeFill="accent2" w:themeFillTint="66"/>
      </w:tcPr>
    </w:tblStylePr>
    <w:tblStylePr w:type="band1Horz">
      <w:tblPr/>
      <w:tcPr>
        <w:shd w:val="clear" w:color="auto" w:fill="D1D0CB" w:themeFill="accent2" w:themeFillTint="7F"/>
      </w:tcPr>
    </w:tblStylePr>
    <w:tblStylePr w:type="neCell">
      <w:rPr>
        <w:color w:val="131237" w:themeColor="text1"/>
      </w:rPr>
    </w:tblStylePr>
    <w:tblStylePr w:type="nwCell">
      <w:rPr>
        <w:color w:val="131237" w:themeColor="text1"/>
      </w:rPr>
    </w:tblStylePr>
  </w:style>
  <w:style w:type="table" w:styleId="ColorfulShading-Accent3">
    <w:name w:val="Colorful Shading Accent 3"/>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C668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3" w:themeFillShade="99"/>
      </w:tcPr>
    </w:tblStylePr>
    <w:tblStylePr w:type="band1Vert">
      <w:tblPr/>
      <w:tcPr>
        <w:shd w:val="clear" w:color="auto" w:fill="D1D0CB" w:themeFill="accent3" w:themeFillTint="66"/>
      </w:tcPr>
    </w:tblStylePr>
    <w:tblStylePr w:type="band1Horz">
      <w:tblPr/>
      <w:tcPr>
        <w:shd w:val="clear" w:color="auto" w:fill="D1D0CB" w:themeFill="accent3" w:themeFillTint="7F"/>
      </w:tcPr>
    </w:tblStylePr>
  </w:style>
  <w:style w:type="table" w:styleId="ColorfulShading-Accent4">
    <w:name w:val="Colorful Shading Accent 4"/>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2E47"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2F2E4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F2E47" w:themeFill="accent4" w:themeFillShade="99"/>
      </w:tcPr>
    </w:tblStylePr>
    <w:tblStylePr w:type="band1Vert">
      <w:tblPr/>
      <w:tcPr>
        <w:shd w:val="clear" w:color="auto" w:fill="D1D0CB" w:themeFill="accent4" w:themeFillTint="66"/>
      </w:tcPr>
    </w:tblStylePr>
    <w:tblStylePr w:type="band1Horz">
      <w:tblPr/>
      <w:tcPr>
        <w:shd w:val="clear" w:color="auto" w:fill="D1D0CB" w:themeFill="accent4" w:themeFillTint="7F"/>
      </w:tcPr>
    </w:tblStylePr>
    <w:tblStylePr w:type="neCell">
      <w:rPr>
        <w:color w:val="131237" w:themeColor="text1"/>
      </w:rPr>
    </w:tblStylePr>
    <w:tblStylePr w:type="nwCell">
      <w:rPr>
        <w:color w:val="131237" w:themeColor="text1"/>
      </w:rPr>
    </w:tblStylePr>
  </w:style>
  <w:style w:type="table" w:styleId="ColorfulShading-Accent5">
    <w:name w:val="Colorful Shading Accent 5"/>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5C6684"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5" w:themeFillShade="99"/>
      </w:tcPr>
    </w:tblStylePr>
    <w:tblStylePr w:type="band1Vert">
      <w:tblPr/>
      <w:tcPr>
        <w:shd w:val="clear" w:color="auto" w:fill="D1D0CB" w:themeFill="accent5" w:themeFillTint="66"/>
      </w:tcPr>
    </w:tblStylePr>
    <w:tblStylePr w:type="band1Horz">
      <w:tblPr/>
      <w:tcPr>
        <w:shd w:val="clear" w:color="auto" w:fill="D1D0CB" w:themeFill="accent5" w:themeFillTint="7F"/>
      </w:tcPr>
    </w:tblStylePr>
    <w:tblStylePr w:type="neCell">
      <w:rPr>
        <w:color w:val="131237" w:themeColor="text1"/>
      </w:rPr>
    </w:tblStylePr>
    <w:tblStylePr w:type="nwCell">
      <w:rPr>
        <w:color w:val="131237" w:themeColor="text1"/>
      </w:rPr>
    </w:tblStylePr>
  </w:style>
  <w:style w:type="table" w:styleId="ColorfulShading-Accent6">
    <w:name w:val="Colorful Shading Accent 6"/>
    <w:basedOn w:val="TableNormal"/>
    <w:uiPriority w:val="71"/>
    <w:rsid w:val="00CB0664"/>
    <w:pPr>
      <w:spacing w:after="0" w:line="240" w:lineRule="auto"/>
    </w:pPr>
    <w:rPr>
      <w:color w:val="131237"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6684"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5C668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C6684" w:themeFill="accent6" w:themeFillShade="99"/>
      </w:tcPr>
    </w:tblStylePr>
    <w:tblStylePr w:type="band1Vert">
      <w:tblPr/>
      <w:tcPr>
        <w:shd w:val="clear" w:color="auto" w:fill="D1D0CB" w:themeFill="accent6" w:themeFillTint="66"/>
      </w:tcPr>
    </w:tblStylePr>
    <w:tblStylePr w:type="band1Horz">
      <w:tblPr/>
      <w:tcPr>
        <w:shd w:val="clear" w:color="auto" w:fill="D1D0CB" w:themeFill="accent6" w:themeFillTint="7F"/>
      </w:tcPr>
    </w:tblStylePr>
    <w:tblStylePr w:type="neCell">
      <w:rPr>
        <w:color w:val="131237" w:themeColor="text1"/>
      </w:rPr>
    </w:tblStylePr>
    <w:tblStylePr w:type="nwCell">
      <w:rPr>
        <w:color w:val="131237" w:themeColor="text1"/>
      </w:rPr>
    </w:tblStylePr>
  </w:style>
  <w:style w:type="table" w:styleId="ColorfulList">
    <w:name w:val="Colorful List"/>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D1D0CB" w:themeFill="tex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text1" w:themeFillTint="3F"/>
      </w:tcPr>
    </w:tblStylePr>
    <w:tblStylePr w:type="band1Horz">
      <w:tblPr/>
      <w:tcPr>
        <w:shd w:val="clear" w:color="auto" w:fill="D1D0CB" w:themeFill="text1" w:themeFillTint="33"/>
      </w:tcPr>
    </w:tblStylePr>
  </w:style>
  <w:style w:type="table" w:styleId="ColorfulList-Accent1">
    <w:name w:val="Colorful List Accent 1"/>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1"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1" w:themeFillTint="3F"/>
      </w:tcPr>
    </w:tblStylePr>
    <w:tblStylePr w:type="band1Horz">
      <w:tblPr/>
      <w:tcPr>
        <w:shd w:val="clear" w:color="auto" w:fill="D1D0CB" w:themeFill="accent1" w:themeFillTint="33"/>
      </w:tcPr>
    </w:tblStylePr>
  </w:style>
  <w:style w:type="table" w:styleId="ColorfulList-Accent2">
    <w:name w:val="Colorful List Accent 2"/>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2" w:themeFillTint="19"/>
    </w:tcPr>
    <w:tblStylePr w:type="firstRow">
      <w:rPr>
        <w:b/>
        <w:bCs/>
        <w:color w:val="FFFFFF" w:themeColor="background1"/>
      </w:rPr>
      <w:tblPr/>
      <w:tcPr>
        <w:tcBorders>
          <w:bottom w:val="single" w:sz="12" w:space="0" w:color="FFFFFF" w:themeColor="background1"/>
        </w:tcBorders>
        <w:shd w:val="clear" w:color="auto" w:fill="5C6684" w:themeFill="accent2" w:themeFillShade="CC"/>
      </w:tcPr>
    </w:tblStylePr>
    <w:tblStylePr w:type="lastRow">
      <w:rPr>
        <w:b/>
        <w:bCs/>
        <w:color w:val="5C66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2" w:themeFillTint="3F"/>
      </w:tcPr>
    </w:tblStylePr>
    <w:tblStylePr w:type="band1Horz">
      <w:tblPr/>
      <w:tcPr>
        <w:shd w:val="clear" w:color="auto" w:fill="D1D0CB" w:themeFill="accent2" w:themeFillTint="33"/>
      </w:tcPr>
    </w:tblStylePr>
  </w:style>
  <w:style w:type="table" w:styleId="ColorfulList-Accent3">
    <w:name w:val="Colorful List Accent 3"/>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3" w:themeFillTint="19"/>
    </w:tcPr>
    <w:tblStylePr w:type="firstRow">
      <w:rPr>
        <w:b/>
        <w:bCs/>
        <w:color w:val="FFFFFF" w:themeColor="background1"/>
      </w:rPr>
      <w:tblPr/>
      <w:tcPr>
        <w:tcBorders>
          <w:bottom w:val="single" w:sz="12" w:space="0" w:color="FFFFFF" w:themeColor="background1"/>
        </w:tcBorders>
        <w:shd w:val="clear" w:color="auto" w:fill="5C6684" w:themeFill="accent4" w:themeFillShade="CC"/>
      </w:tcPr>
    </w:tblStylePr>
    <w:tblStylePr w:type="lastRow">
      <w:rPr>
        <w:b/>
        <w:bCs/>
        <w:color w:val="5C668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3" w:themeFillTint="3F"/>
      </w:tcPr>
    </w:tblStylePr>
    <w:tblStylePr w:type="band1Horz">
      <w:tblPr/>
      <w:tcPr>
        <w:shd w:val="clear" w:color="auto" w:fill="FFFFFF" w:themeFill="accent3" w:themeFillTint="33"/>
      </w:tcPr>
    </w:tblStylePr>
  </w:style>
  <w:style w:type="table" w:styleId="ColorfulList-Accent4">
    <w:name w:val="Colorful List Accent 4"/>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4" w:themeFillTint="19"/>
    </w:tcPr>
    <w:tblStylePr w:type="firstRow">
      <w:rPr>
        <w:b/>
        <w:bCs/>
        <w:color w:val="FFFFFF" w:themeColor="background1"/>
      </w:rPr>
      <w:tblPr/>
      <w:tcPr>
        <w:tcBorders>
          <w:bottom w:val="single" w:sz="12" w:space="0" w:color="FFFFFF" w:themeColor="background1"/>
        </w:tcBorders>
        <w:shd w:val="clear" w:color="auto" w:fill="5C6684" w:themeFill="accent3" w:themeFillShade="CC"/>
      </w:tcPr>
    </w:tblStylePr>
    <w:tblStylePr w:type="lastRow">
      <w:rPr>
        <w:b/>
        <w:bCs/>
        <w:color w:val="5C66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4" w:themeFillTint="3F"/>
      </w:tcPr>
    </w:tblStylePr>
    <w:tblStylePr w:type="band1Horz">
      <w:tblPr/>
      <w:tcPr>
        <w:shd w:val="clear" w:color="auto" w:fill="D1D0CB" w:themeFill="accent4" w:themeFillTint="33"/>
      </w:tcPr>
    </w:tblStylePr>
  </w:style>
  <w:style w:type="table" w:styleId="ColorfulList-Accent5">
    <w:name w:val="Colorful List Accent 5"/>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5" w:themeFillTint="19"/>
    </w:tcPr>
    <w:tblStylePr w:type="firstRow">
      <w:rPr>
        <w:b/>
        <w:bCs/>
        <w:color w:val="FFFFFF" w:themeColor="background1"/>
      </w:rPr>
      <w:tblPr/>
      <w:tcPr>
        <w:tcBorders>
          <w:bottom w:val="single" w:sz="12" w:space="0" w:color="FFFFFF" w:themeColor="background1"/>
        </w:tcBorders>
        <w:shd w:val="clear" w:color="auto" w:fill="5C6684" w:themeFill="accent6" w:themeFillShade="CC"/>
      </w:tcPr>
    </w:tblStylePr>
    <w:tblStylePr w:type="lastRow">
      <w:rPr>
        <w:b/>
        <w:bCs/>
        <w:color w:val="5C668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5" w:themeFillTint="3F"/>
      </w:tcPr>
    </w:tblStylePr>
    <w:tblStylePr w:type="band1Horz">
      <w:tblPr/>
      <w:tcPr>
        <w:shd w:val="clear" w:color="auto" w:fill="FFFFFF" w:themeFill="accent5" w:themeFillTint="33"/>
      </w:tcPr>
    </w:tblStylePr>
  </w:style>
  <w:style w:type="table" w:styleId="ColorfulList-Accent6">
    <w:name w:val="Colorful List Accent 6"/>
    <w:basedOn w:val="TableNormal"/>
    <w:uiPriority w:val="72"/>
    <w:rsid w:val="00CB0664"/>
    <w:pPr>
      <w:spacing w:after="0" w:line="240" w:lineRule="auto"/>
    </w:pPr>
    <w:rPr>
      <w:color w:val="131237" w:themeColor="text1"/>
    </w:rPr>
    <w:tblPr>
      <w:tblStyleRowBandSize w:val="1"/>
      <w:tblStyleColBandSize w:val="1"/>
      <w:tblInd w:w="0" w:type="dxa"/>
      <w:tblCellMar>
        <w:top w:w="0" w:type="dxa"/>
        <w:left w:w="108" w:type="dxa"/>
        <w:bottom w:w="0" w:type="dxa"/>
        <w:right w:w="108" w:type="dxa"/>
      </w:tblCellMar>
    </w:tblPr>
    <w:tcPr>
      <w:shd w:val="clear" w:color="auto" w:fill="FFFFFF" w:themeFill="accent6" w:themeFillTint="19"/>
    </w:tcPr>
    <w:tblStylePr w:type="firstRow">
      <w:rPr>
        <w:b/>
        <w:bCs/>
        <w:color w:val="FFFFFF" w:themeColor="background1"/>
      </w:rPr>
      <w:tblPr/>
      <w:tcPr>
        <w:tcBorders>
          <w:bottom w:val="single" w:sz="12" w:space="0" w:color="FFFFFF" w:themeColor="background1"/>
        </w:tcBorders>
        <w:shd w:val="clear" w:color="auto" w:fill="5C6684" w:themeFill="accent5" w:themeFillShade="CC"/>
      </w:tcPr>
    </w:tblStylePr>
    <w:tblStylePr w:type="lastRow">
      <w:rPr>
        <w:b/>
        <w:bCs/>
        <w:color w:val="5C668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0CB" w:themeFill="accent6" w:themeFillTint="3F"/>
      </w:tcPr>
    </w:tblStylePr>
    <w:tblStylePr w:type="band1Horz">
      <w:tblPr/>
      <w:tcPr>
        <w:shd w:val="clear" w:color="auto" w:fill="FFFFFF" w:themeFill="accent6" w:themeFillTint="33"/>
      </w:tcPr>
    </w:tblStylePr>
  </w:style>
  <w:style w:type="table" w:styleId="ColorfulGrid">
    <w:name w:val="Colorful Grid"/>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text1" w:themeFillTint="33"/>
    </w:tcPr>
    <w:tblStylePr w:type="firstRow">
      <w:rPr>
        <w:b/>
        <w:bCs/>
      </w:rPr>
      <w:tblPr/>
      <w:tcPr>
        <w:shd w:val="clear" w:color="auto" w:fill="5C6684" w:themeFill="text1" w:themeFillTint="66"/>
      </w:tcPr>
    </w:tblStylePr>
    <w:tblStylePr w:type="lastRow">
      <w:rPr>
        <w:b/>
        <w:bCs/>
        <w:color w:val="131237" w:themeColor="text1"/>
      </w:rPr>
      <w:tblPr/>
      <w:tcPr>
        <w:shd w:val="clear" w:color="auto" w:fill="5C6684" w:themeFill="text1" w:themeFillTint="66"/>
      </w:tcPr>
    </w:tblStylePr>
    <w:tblStylePr w:type="firstCol">
      <w:rPr>
        <w:color w:val="FFFFFF" w:themeColor="background1"/>
      </w:rPr>
      <w:tblPr/>
      <w:tcPr>
        <w:shd w:val="clear" w:color="auto" w:fill="131237" w:themeFill="text1" w:themeFillShade="BF"/>
      </w:tcPr>
    </w:tblStylePr>
    <w:tblStylePr w:type="lastCol">
      <w:rPr>
        <w:color w:val="FFFFFF" w:themeColor="background1"/>
      </w:rPr>
      <w:tblPr/>
      <w:tcPr>
        <w:shd w:val="clear" w:color="auto" w:fill="131237" w:themeFill="text1" w:themeFillShade="BF"/>
      </w:tcPr>
    </w:tblStylePr>
    <w:tblStylePr w:type="band1Vert">
      <w:tblPr/>
      <w:tcPr>
        <w:shd w:val="clear" w:color="auto" w:fill="5C6684" w:themeFill="text1" w:themeFillTint="7F"/>
      </w:tcPr>
    </w:tblStylePr>
    <w:tblStylePr w:type="band1Horz">
      <w:tblPr/>
      <w:tcPr>
        <w:shd w:val="clear" w:color="auto" w:fill="5C6684" w:themeFill="text1" w:themeFillTint="7F"/>
      </w:tcPr>
    </w:tblStylePr>
  </w:style>
  <w:style w:type="table" w:styleId="ColorfulGrid-Accent1">
    <w:name w:val="Colorful Grid Accent 1"/>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1" w:themeFillTint="33"/>
    </w:tcPr>
    <w:tblStylePr w:type="firstRow">
      <w:rPr>
        <w:b/>
        <w:bCs/>
      </w:rPr>
      <w:tblPr/>
      <w:tcPr>
        <w:shd w:val="clear" w:color="auto" w:fill="D1D0CB" w:themeFill="accent1" w:themeFillTint="66"/>
      </w:tcPr>
    </w:tblStylePr>
    <w:tblStylePr w:type="lastRow">
      <w:rPr>
        <w:b/>
        <w:bCs/>
        <w:color w:val="131237" w:themeColor="text1"/>
      </w:rPr>
      <w:tblPr/>
      <w:tcPr>
        <w:shd w:val="clear" w:color="auto" w:fill="D1D0CB" w:themeFill="accent1" w:themeFillTint="66"/>
      </w:tcPr>
    </w:tblStylePr>
    <w:tblStylePr w:type="firstCol">
      <w:rPr>
        <w:color w:val="FFFFFF" w:themeColor="background1"/>
      </w:rPr>
      <w:tblPr/>
      <w:tcPr>
        <w:shd w:val="clear" w:color="auto" w:fill="5C6684" w:themeFill="accent1" w:themeFillShade="BF"/>
      </w:tcPr>
    </w:tblStylePr>
    <w:tblStylePr w:type="lastCol">
      <w:rPr>
        <w:color w:val="FFFFFF" w:themeColor="background1"/>
      </w:rPr>
      <w:tblPr/>
      <w:tcPr>
        <w:shd w:val="clear" w:color="auto" w:fill="5C6684" w:themeFill="accent1" w:themeFillShade="BF"/>
      </w:tcPr>
    </w:tblStylePr>
    <w:tblStylePr w:type="band1Vert">
      <w:tblPr/>
      <w:tcPr>
        <w:shd w:val="clear" w:color="auto" w:fill="D1D0CB" w:themeFill="accent1" w:themeFillTint="7F"/>
      </w:tcPr>
    </w:tblStylePr>
    <w:tblStylePr w:type="band1Horz">
      <w:tblPr/>
      <w:tcPr>
        <w:shd w:val="clear" w:color="auto" w:fill="D1D0CB" w:themeFill="accent1" w:themeFillTint="7F"/>
      </w:tcPr>
    </w:tblStylePr>
  </w:style>
  <w:style w:type="table" w:styleId="ColorfulGrid-Accent2">
    <w:name w:val="Colorful Grid Accent 2"/>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2" w:themeFillTint="33"/>
    </w:tcPr>
    <w:tblStylePr w:type="firstRow">
      <w:rPr>
        <w:b/>
        <w:bCs/>
      </w:rPr>
      <w:tblPr/>
      <w:tcPr>
        <w:shd w:val="clear" w:color="auto" w:fill="D1D0CB" w:themeFill="accent2" w:themeFillTint="66"/>
      </w:tcPr>
    </w:tblStylePr>
    <w:tblStylePr w:type="lastRow">
      <w:rPr>
        <w:b/>
        <w:bCs/>
        <w:color w:val="131237" w:themeColor="text1"/>
      </w:rPr>
      <w:tblPr/>
      <w:tcPr>
        <w:shd w:val="clear" w:color="auto" w:fill="D1D0CB" w:themeFill="accent2" w:themeFillTint="66"/>
      </w:tcPr>
    </w:tblStylePr>
    <w:tblStylePr w:type="firstCol">
      <w:rPr>
        <w:color w:val="FFFFFF" w:themeColor="background1"/>
      </w:rPr>
      <w:tblPr/>
      <w:tcPr>
        <w:shd w:val="clear" w:color="auto" w:fill="2F2E47" w:themeFill="accent2" w:themeFillShade="BF"/>
      </w:tcPr>
    </w:tblStylePr>
    <w:tblStylePr w:type="lastCol">
      <w:rPr>
        <w:color w:val="FFFFFF" w:themeColor="background1"/>
      </w:rPr>
      <w:tblPr/>
      <w:tcPr>
        <w:shd w:val="clear" w:color="auto" w:fill="2F2E47" w:themeFill="accent2" w:themeFillShade="BF"/>
      </w:tcPr>
    </w:tblStylePr>
    <w:tblStylePr w:type="band1Vert">
      <w:tblPr/>
      <w:tcPr>
        <w:shd w:val="clear" w:color="auto" w:fill="D1D0CB" w:themeFill="accent2" w:themeFillTint="7F"/>
      </w:tcPr>
    </w:tblStylePr>
    <w:tblStylePr w:type="band1Horz">
      <w:tblPr/>
      <w:tcPr>
        <w:shd w:val="clear" w:color="auto" w:fill="D1D0CB" w:themeFill="accent2" w:themeFillTint="7F"/>
      </w:tcPr>
    </w:tblStylePr>
  </w:style>
  <w:style w:type="table" w:styleId="ColorfulGrid-Accent3">
    <w:name w:val="Colorful Grid Accent 3"/>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3" w:themeFillTint="33"/>
    </w:tcPr>
    <w:tblStylePr w:type="firstRow">
      <w:rPr>
        <w:b/>
        <w:bCs/>
      </w:rPr>
      <w:tblPr/>
      <w:tcPr>
        <w:shd w:val="clear" w:color="auto" w:fill="D1D0CB" w:themeFill="accent3" w:themeFillTint="66"/>
      </w:tcPr>
    </w:tblStylePr>
    <w:tblStylePr w:type="lastRow">
      <w:rPr>
        <w:b/>
        <w:bCs/>
        <w:color w:val="131237" w:themeColor="text1"/>
      </w:rPr>
      <w:tblPr/>
      <w:tcPr>
        <w:shd w:val="clear" w:color="auto" w:fill="D1D0CB" w:themeFill="accent3" w:themeFillTint="66"/>
      </w:tcPr>
    </w:tblStylePr>
    <w:tblStylePr w:type="firstCol">
      <w:rPr>
        <w:color w:val="FFFFFF" w:themeColor="background1"/>
      </w:rPr>
      <w:tblPr/>
      <w:tcPr>
        <w:shd w:val="clear" w:color="auto" w:fill="5C6684" w:themeFill="accent3" w:themeFillShade="BF"/>
      </w:tcPr>
    </w:tblStylePr>
    <w:tblStylePr w:type="lastCol">
      <w:rPr>
        <w:color w:val="FFFFFF" w:themeColor="background1"/>
      </w:rPr>
      <w:tblPr/>
      <w:tcPr>
        <w:shd w:val="clear" w:color="auto" w:fill="5C6684" w:themeFill="accent3" w:themeFillShade="BF"/>
      </w:tcPr>
    </w:tblStylePr>
    <w:tblStylePr w:type="band1Vert">
      <w:tblPr/>
      <w:tcPr>
        <w:shd w:val="clear" w:color="auto" w:fill="D1D0CB" w:themeFill="accent3" w:themeFillTint="7F"/>
      </w:tcPr>
    </w:tblStylePr>
    <w:tblStylePr w:type="band1Horz">
      <w:tblPr/>
      <w:tcPr>
        <w:shd w:val="clear" w:color="auto" w:fill="D1D0CB" w:themeFill="accent3" w:themeFillTint="7F"/>
      </w:tcPr>
    </w:tblStylePr>
  </w:style>
  <w:style w:type="table" w:styleId="ColorfulGrid-Accent4">
    <w:name w:val="Colorful Grid Accent 4"/>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1D0CB" w:themeFill="accent4" w:themeFillTint="33"/>
    </w:tcPr>
    <w:tblStylePr w:type="firstRow">
      <w:rPr>
        <w:b/>
        <w:bCs/>
      </w:rPr>
      <w:tblPr/>
      <w:tcPr>
        <w:shd w:val="clear" w:color="auto" w:fill="D1D0CB" w:themeFill="accent4" w:themeFillTint="66"/>
      </w:tcPr>
    </w:tblStylePr>
    <w:tblStylePr w:type="lastRow">
      <w:rPr>
        <w:b/>
        <w:bCs/>
        <w:color w:val="131237" w:themeColor="text1"/>
      </w:rPr>
      <w:tblPr/>
      <w:tcPr>
        <w:shd w:val="clear" w:color="auto" w:fill="D1D0CB" w:themeFill="accent4" w:themeFillTint="66"/>
      </w:tcPr>
    </w:tblStylePr>
    <w:tblStylePr w:type="firstCol">
      <w:rPr>
        <w:color w:val="FFFFFF" w:themeColor="background1"/>
      </w:rPr>
      <w:tblPr/>
      <w:tcPr>
        <w:shd w:val="clear" w:color="auto" w:fill="5C6684" w:themeFill="accent4" w:themeFillShade="BF"/>
      </w:tcPr>
    </w:tblStylePr>
    <w:tblStylePr w:type="lastCol">
      <w:rPr>
        <w:color w:val="FFFFFF" w:themeColor="background1"/>
      </w:rPr>
      <w:tblPr/>
      <w:tcPr>
        <w:shd w:val="clear" w:color="auto" w:fill="5C6684" w:themeFill="accent4" w:themeFillShade="BF"/>
      </w:tcPr>
    </w:tblStylePr>
    <w:tblStylePr w:type="band1Vert">
      <w:tblPr/>
      <w:tcPr>
        <w:shd w:val="clear" w:color="auto" w:fill="D1D0CB" w:themeFill="accent4" w:themeFillTint="7F"/>
      </w:tcPr>
    </w:tblStylePr>
    <w:tblStylePr w:type="band1Horz">
      <w:tblPr/>
      <w:tcPr>
        <w:shd w:val="clear" w:color="auto" w:fill="D1D0CB" w:themeFill="accent4" w:themeFillTint="7F"/>
      </w:tcPr>
    </w:tblStylePr>
  </w:style>
  <w:style w:type="table" w:styleId="ColorfulGrid-Accent5">
    <w:name w:val="Colorful Grid Accent 5"/>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5" w:themeFillTint="33"/>
    </w:tcPr>
    <w:tblStylePr w:type="firstRow">
      <w:rPr>
        <w:b/>
        <w:bCs/>
      </w:rPr>
      <w:tblPr/>
      <w:tcPr>
        <w:shd w:val="clear" w:color="auto" w:fill="D1D0CB" w:themeFill="accent5" w:themeFillTint="66"/>
      </w:tcPr>
    </w:tblStylePr>
    <w:tblStylePr w:type="lastRow">
      <w:rPr>
        <w:b/>
        <w:bCs/>
        <w:color w:val="131237" w:themeColor="text1"/>
      </w:rPr>
      <w:tblPr/>
      <w:tcPr>
        <w:shd w:val="clear" w:color="auto" w:fill="D1D0CB" w:themeFill="accent5" w:themeFillTint="66"/>
      </w:tcPr>
    </w:tblStylePr>
    <w:tblStylePr w:type="firstCol">
      <w:rPr>
        <w:color w:val="FFFFFF" w:themeColor="background1"/>
      </w:rPr>
      <w:tblPr/>
      <w:tcPr>
        <w:shd w:val="clear" w:color="auto" w:fill="5C6684" w:themeFill="accent5" w:themeFillShade="BF"/>
      </w:tcPr>
    </w:tblStylePr>
    <w:tblStylePr w:type="lastCol">
      <w:rPr>
        <w:color w:val="FFFFFF" w:themeColor="background1"/>
      </w:rPr>
      <w:tblPr/>
      <w:tcPr>
        <w:shd w:val="clear" w:color="auto" w:fill="5C6684" w:themeFill="accent5" w:themeFillShade="BF"/>
      </w:tcPr>
    </w:tblStylePr>
    <w:tblStylePr w:type="band1Vert">
      <w:tblPr/>
      <w:tcPr>
        <w:shd w:val="clear" w:color="auto" w:fill="D1D0CB" w:themeFill="accent5" w:themeFillTint="7F"/>
      </w:tcPr>
    </w:tblStylePr>
    <w:tblStylePr w:type="band1Horz">
      <w:tblPr/>
      <w:tcPr>
        <w:shd w:val="clear" w:color="auto" w:fill="D1D0CB" w:themeFill="accent5" w:themeFillTint="7F"/>
      </w:tcPr>
    </w:tblStylePr>
  </w:style>
  <w:style w:type="table" w:styleId="ColorfulGrid-Accent6">
    <w:name w:val="Colorful Grid Accent 6"/>
    <w:basedOn w:val="TableNormal"/>
    <w:uiPriority w:val="73"/>
    <w:rsid w:val="00CB0664"/>
    <w:pPr>
      <w:spacing w:after="0" w:line="240" w:lineRule="auto"/>
    </w:pPr>
    <w:rPr>
      <w:color w:val="131237"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hemeFill="accent6" w:themeFillTint="33"/>
    </w:tcPr>
    <w:tblStylePr w:type="firstRow">
      <w:rPr>
        <w:b/>
        <w:bCs/>
      </w:rPr>
      <w:tblPr/>
      <w:tcPr>
        <w:shd w:val="clear" w:color="auto" w:fill="D1D0CB" w:themeFill="accent6" w:themeFillTint="66"/>
      </w:tcPr>
    </w:tblStylePr>
    <w:tblStylePr w:type="lastRow">
      <w:rPr>
        <w:b/>
        <w:bCs/>
        <w:color w:val="131237" w:themeColor="text1"/>
      </w:rPr>
      <w:tblPr/>
      <w:tcPr>
        <w:shd w:val="clear" w:color="auto" w:fill="D1D0CB" w:themeFill="accent6" w:themeFillTint="66"/>
      </w:tcPr>
    </w:tblStylePr>
    <w:tblStylePr w:type="firstCol">
      <w:rPr>
        <w:color w:val="FFFFFF" w:themeColor="background1"/>
      </w:rPr>
      <w:tblPr/>
      <w:tcPr>
        <w:shd w:val="clear" w:color="auto" w:fill="5C6684" w:themeFill="accent6" w:themeFillShade="BF"/>
      </w:tcPr>
    </w:tblStylePr>
    <w:tblStylePr w:type="lastCol">
      <w:rPr>
        <w:color w:val="FFFFFF" w:themeColor="background1"/>
      </w:rPr>
      <w:tblPr/>
      <w:tcPr>
        <w:shd w:val="clear" w:color="auto" w:fill="5C6684" w:themeFill="accent6" w:themeFillShade="BF"/>
      </w:tcPr>
    </w:tblStylePr>
    <w:tblStylePr w:type="band1Vert">
      <w:tblPr/>
      <w:tcPr>
        <w:shd w:val="clear" w:color="auto" w:fill="D1D0CB" w:themeFill="accent6" w:themeFillTint="7F"/>
      </w:tcPr>
    </w:tblStylePr>
    <w:tblStylePr w:type="band1Horz">
      <w:tblPr/>
      <w:tcPr>
        <w:shd w:val="clear" w:color="auto" w:fill="D1D0CB"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131237"/>
      </a:dk1>
      <a:lt1>
        <a:sysClr val="window" lastClr="FFFFFF"/>
      </a:lt1>
      <a:dk2>
        <a:srgbClr val="2F2E47"/>
      </a:dk2>
      <a:lt2>
        <a:srgbClr val="FFFFFF"/>
      </a:lt2>
      <a:accent1>
        <a:srgbClr val="5C6684"/>
      </a:accent1>
      <a:accent2>
        <a:srgbClr val="5C6684"/>
      </a:accent2>
      <a:accent3>
        <a:srgbClr val="5C6684"/>
      </a:accent3>
      <a:accent4>
        <a:srgbClr val="5C6684"/>
      </a:accent4>
      <a:accent5>
        <a:srgbClr val="5C6684"/>
      </a:accent5>
      <a:accent6>
        <a:srgbClr val="D1D0CB"/>
      </a:accent6>
      <a:hlink>
        <a:srgbClr val="5C6684"/>
      </a:hlink>
      <a:folHlink>
        <a:srgbClr val="5C6684"/>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131237">
                <a:alpha val="38000"/>
              </a:srgbClr>
            </a:outerShdw>
          </a:effectLst>
        </a:effectStyle>
        <a:effectStyle>
          <a:effectLst>
            <a:outerShdw blurRad="40000" dist="23000" dir="5400000" rotWithShape="0">
              <a:srgbClr val="131237">
                <a:alpha val="35000"/>
              </a:srgbClr>
            </a:outerShdw>
          </a:effectLst>
        </a:effectStyle>
        <a:effectStyle>
          <a:effectLst>
            <a:outerShdw blurRad="40000" dist="23000" dir="5400000" rotWithShape="0">
              <a:srgbClr val="131237">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