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regula la adquisición, por parte de la Adquirente, de productos audiovisuales elaborados por la Proveedora y de los derechos de utilización que en cada caso se indiquen.</w:t>
      </w:r>
    </w:p>
    <w:p>
      <w:pPr>
        <w:spacing w:before="280" w:after="120" w:line="300" w:lineRule="auto"/>
        <w:pBdr>
          <w:bottom w:val="single" w:sz="6" w:space="4" w:color="D1D0CB"/>
        </w:pBdr>
      </w:pPr>
      <w:r>
        <w:rPr>
          <w:rFonts w:ascii="Safira March" w:hAnsi="Safira March"/>
          <w:color w:val="131237"/>
          <w:sz w:val="28"/>
        </w:rPr>
        <w:t>Segunda. Independencia de la relación laboral</w:t>
      </w:r>
    </w:p>
    <w:p>
      <w:pPr>
        <w:spacing w:before="0" w:after="120" w:line="300" w:lineRule="auto"/>
      </w:pPr>
      <w:r>
        <w:rPr>
          <w:rFonts w:ascii="Georgia" w:hAnsi="Georgia"/>
          <w:b w:val="0"/>
          <w:color w:val="2F2E47"/>
          <w:sz w:val="21"/>
        </w:rPr>
        <w:t>Este contrato es distinto e independiente de la relación laboral que existe entre las partes, en la que la Proveedora se desempeña como asistente administrativa. La producción audiovisual no forma parte de las funciones de ese puesto.</w:t>
      </w:r>
    </w:p>
    <w:p>
      <w:pPr>
        <w:spacing w:before="0" w:after="120" w:line="300" w:lineRule="auto"/>
      </w:pPr>
      <w:r>
        <w:rPr>
          <w:rFonts w:ascii="Georgia" w:hAnsi="Georgia"/>
          <w:b w:val="0"/>
          <w:color w:val="2F2E47"/>
          <w:sz w:val="21"/>
        </w:rPr>
        <w:t>La Proveedora elabora los productos fuera de su jornada laboral, con sus propios medios y con autonomía para decidir cómo producirlos, editarlos y organizarse. La Adquirente puede definir los requisitos del producto, pero no dirige su ejecución.</w:t>
      </w:r>
    </w:p>
    <w:p>
      <w:pPr>
        <w:spacing w:before="0" w:after="120" w:line="300" w:lineRule="auto"/>
      </w:pPr>
      <w:r>
        <w:rPr>
          <w:rFonts w:ascii="Georgia" w:hAnsi="Georgia"/>
          <w:b w:val="0"/>
          <w:color w:val="2F2E47"/>
          <w:sz w:val="21"/>
        </w:rPr>
        <w:t>La Proveedora puede ofrecer sus servicios a otros clientes y rechazar cualquier propuesta de la Adquirente, sin consecuencia alguna para su relación laboral.</w:t>
      </w:r>
    </w:p>
    <w:p>
      <w:pPr>
        <w:spacing w:before="280" w:after="120" w:line="300" w:lineRule="auto"/>
        <w:pBdr>
          <w:bottom w:val="single" w:sz="6" w:space="4" w:color="D1D0CB"/>
        </w:pBdr>
      </w:pPr>
      <w:r>
        <w:rPr>
          <w:rFonts w:ascii="Safira March" w:hAnsi="Safira March"/>
          <w:color w:val="131237"/>
          <w:sz w:val="28"/>
        </w:rPr>
        <w:t>Tercera. Ofertas y órdenes de compra</w:t>
      </w:r>
    </w:p>
    <w:p>
      <w:pPr>
        <w:spacing w:before="0" w:after="120" w:line="300" w:lineRule="auto"/>
      </w:pPr>
      <w:r>
        <w:rPr>
          <w:rFonts w:ascii="Georgia" w:hAnsi="Georgia"/>
          <w:b w:val="0"/>
          <w:color w:val="2F2E47"/>
          <w:sz w:val="21"/>
        </w:rPr>
        <w:t>Cada adquisición se formaliza por escrito: la Proveedora presenta una oferta o la Adquirente una propuesta, y ambas partes acuerdan una orden de compra que indica el producto, sus características, el precio, la fecha de entrega y los derechos que se adquieren.</w:t>
      </w:r>
    </w:p>
    <w:p>
      <w:pPr>
        <w:spacing w:before="0" w:after="120" w:line="300" w:lineRule="auto"/>
      </w:pPr>
      <w:r>
        <w:rPr>
          <w:rFonts w:ascii="Georgia" w:hAnsi="Georgia"/>
          <w:b w:val="0"/>
          <w:color w:val="2F2E47"/>
          <w:sz w:val="21"/>
        </w:rPr>
        <w:t>No existe un número mínimo de adquisiciones ni un pago periódico garantizado.</w:t>
      </w:r>
    </w:p>
    <w:p>
      <w:pPr>
        <w:spacing w:before="280" w:after="120" w:line="300" w:lineRule="auto"/>
        <w:pBdr>
          <w:bottom w:val="single" w:sz="6" w:space="4" w:color="D1D0CB"/>
        </w:pBdr>
      </w:pPr>
      <w:r>
        <w:rPr>
          <w:rFonts w:ascii="Safira March" w:hAnsi="Safira March"/>
          <w:color w:val="131237"/>
          <w:sz w:val="28"/>
        </w:rPr>
        <w:t>Cuarta. Uso de instalaciones y participación de terceros</w:t>
      </w:r>
    </w:p>
    <w:p>
      <w:pPr>
        <w:spacing w:before="0" w:after="120" w:line="300" w:lineRule="auto"/>
      </w:pPr>
      <w:r>
        <w:rPr>
          <w:rFonts w:ascii="Georgia" w:hAnsi="Georgia"/>
          <w:b w:val="0"/>
          <w:color w:val="2F2E47"/>
          <w:sz w:val="21"/>
        </w:rPr>
        <w:t>Si un producto requiere grabar en instalaciones de la Adquirente o con profesionales que le prestan servicios, la Proveedora coordina previamente el espacio y el horario, fuera de su jornada laboral. Cada persona participa de forma voluntaria y con consentimiento escrito de uso de imagen.</w:t>
      </w:r>
    </w:p>
    <w:p>
      <w:pPr>
        <w:spacing w:before="0" w:after="120" w:line="300" w:lineRule="auto"/>
      </w:pPr>
      <w:r>
        <w:rPr>
          <w:rFonts w:ascii="Georgia" w:hAnsi="Georgia"/>
          <w:b w:val="0"/>
          <w:color w:val="2F2E47"/>
          <w:sz w:val="21"/>
        </w:rPr>
        <w:t>Ningún paciente aparece en los productos, y no se utiliza información clínica.</w:t>
      </w:r>
    </w:p>
    <w:p>
      <w:pPr>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Adquirente dispone de cinco días hábiles desde la entrega completa para aceptar el producto o formular observaciones concretas, referidas a lo indicado en la orden de compra. Si las observaciones son subsanables, las partes acuerdan un plazo para corregirlas. Si vence el plazo sin observaciones, el producto se tiene por aceptado.</w:t>
      </w:r>
    </w:p>
    <w:p>
      <w:pPr>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de cada producto es el indicado en su orden de compra. La Proveedora emite el comprobante electrónico correspondiente, y la Adquirente paga dentro de los ocho días naturales siguientes a la aceptación.</w:t>
      </w:r>
    </w:p>
    <w:p>
      <w:pPr>
        <w:spacing w:before="0" w:after="120" w:line="300" w:lineRule="auto"/>
      </w:pPr>
      <w:r>
        <w:rPr>
          <w:rFonts w:ascii="Georgia" w:hAnsi="Georgia"/>
          <w:b w:val="0"/>
          <w:color w:val="2F2E47"/>
          <w:sz w:val="21"/>
        </w:rPr>
        <w:t>Cada parte asume las obligaciones tributarias y de seguridad social que le correspondan por ley. Estos pagos se documentan por separado de la planilla.</w:t>
      </w:r>
    </w:p>
    <w:p>
      <w:pPr>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de compra indica si la Adquirente adquiere los derechos patrimoniales del producto o una licencia de uso. En caso de adquisición, comprende las modalidades de reproducción, distribución, comunicación pública y transformación, en exclusiva, sin límite de territorio y por todo el plazo legal, salvo que la orden de compra indique otra cosa. La Proveedora conserva sus derechos morales como autora.</w:t>
      </w:r>
    </w:p>
    <w:p>
      <w:pPr>
        <w:spacing w:before="0" w:after="120" w:line="300" w:lineRule="auto"/>
      </w:pPr>
      <w:r>
        <w:rPr>
          <w:rFonts w:ascii="Georgia" w:hAnsi="Georgia"/>
          <w:b w:val="0"/>
          <w:color w:val="2F2E47"/>
          <w:sz w:val="21"/>
        </w:rPr>
        <w:t>La Proveedora garantiza que los materiales de terceros incorporados cuentan con licencia o son de uso libre, e informa su origen al entregar.</w:t>
      </w:r>
    </w:p>
    <w:p>
      <w:pPr>
        <w:spacing w:before="280" w:after="120" w:line="300" w:lineRule="auto"/>
        <w:pBdr>
          <w:bottom w:val="single" w:sz="6" w:space="4" w:color="D1D0CB"/>
        </w:pBdr>
      </w:pPr>
      <w:r>
        <w:rPr>
          <w:rFonts w:ascii="Safira March" w:hAnsi="Safira March"/>
          <w:color w:val="131237"/>
          <w:sz w:val="28"/>
        </w:rPr>
        <w:t>Octava. Confidencialidad</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w:t>
      </w:r>
    </w:p>
    <w:p>
      <w:pPr>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Ante un incumplimiento, la parte afectada lo comunica por escrito y concede un plazo razonable para corregirlo. Si persiste, podrá resolver la orden de compra afectada. Ningún incumplimiento de este contrato tiene efectos disciplinarios en la relación laboral.</w:t>
      </w:r>
    </w:p>
    <w:p>
      <w:pPr>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de compra aceptadas antes del aviso se cumplen en sus términos.</w:t>
      </w:r>
    </w:p>
    <w:p>
      <w:pPr>
        <w:spacing w:before="280" w:after="120" w:line="300" w:lineRule="auto"/>
        <w:pBdr>
          <w:bottom w:val="single" w:sz="6" w:space="4" w:color="D1D0CB"/>
        </w:pBdr>
      </w:pPr>
      <w:r>
        <w:rPr>
          <w:rFonts w:ascii="Safira March" w:hAnsi="Safira March"/>
          <w:color w:val="131237"/>
          <w:sz w:val="28"/>
        </w:rPr>
        <w:t>Undécima. Alcance temporal y derechos laborales</w:t>
      </w:r>
    </w:p>
    <w:p>
      <w:pPr>
        <w:spacing w:before="0" w:after="120" w:line="300" w:lineRule="auto"/>
      </w:pPr>
      <w:r>
        <w:rPr>
          <w:rFonts w:ascii="Georgia" w:hAnsi="Georgia"/>
          <w:b w:val="0"/>
          <w:color w:val="2F2E47"/>
          <w:sz w:val="21"/>
        </w:rPr>
        <w:t>Este contrato se aplica a las adquisiciones posteriores a su firma. No modifica, sustituye ni califica pagos, obligaciones o derechos anteriores, ni afecta los derechos que la ley reconoce a la Proveedora como trabajadora.</w:t>
      </w:r>
    </w:p>
    <w:p>
      <w:pPr>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y consultar este contrato. Su negativa a firmarlo no tiene consecuencia alguna en su relación laboral.</w:t>
      </w:r>
    </w:p>
    <w:p>
      <w:pPr>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y demás normas aplicables de Costa Rica, sin perjuicio de las normas laborales de orden público.</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