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pPr>
      <w:r>
        <w:rPr>
          <w:rFonts w:ascii="Safira March" w:hAnsi="Safira March"/>
          <w:color w:val="131237"/>
          <w:sz w:val="48"/>
        </w:rPr>
        <w:t>Lineamientos del Equipo Administrativo</w:t>
      </w:r>
    </w:p>
    <w:p>
      <w:pPr>
        <w:spacing w:before="120" w:after="120" w:line="300" w:lineRule="auto"/>
      </w:pPr>
      <w:r>
        <w:rPr>
          <w:rFonts w:ascii="Georgia" w:hAnsi="Georgia"/>
          <w:b/>
          <w:color w:val="131237"/>
          <w:sz w:val="22"/>
        </w:rPr>
        <w:t>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w:t>
      </w:r>
    </w:p>
    <w:p>
      <w:pPr>
        <w:spacing w:before="0" w:after="120" w:line="300" w:lineRule="auto"/>
      </w:pPr>
      <w:r>
        <w:rPr>
          <w:rFonts w:ascii="Georgia" w:hAnsi="Georgia"/>
          <w:b w:val="0"/>
          <w:color w:val="2F2E47"/>
          <w:sz w:val="21"/>
        </w:rPr>
        <w:t>En lo esencial:</w:t>
      </w:r>
    </w:p>
    <w:p>
      <w:pPr>
        <w:pStyle w:val="ListBullet"/>
        <w:spacing w:before="0" w:after="60" w:line="300" w:lineRule="auto"/>
      </w:pPr>
      <w:r>
        <w:rPr>
          <w:rFonts w:ascii="Georgia" w:hAnsi="Georgia"/>
          <w:b w:val="0"/>
          <w:color w:val="2F2E47"/>
          <w:sz w:val="21"/>
        </w:rPr>
        <w:t>Un trato cálido y sereno,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no se improvisa.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w:t>
      </w:r>
    </w:p>
    <w:p>
      <w:pPr>
        <w:pStyle w:val="ListBullet"/>
        <w:spacing w:before="0" w:after="60" w:line="300" w:lineRule="auto"/>
      </w:pPr>
      <w:r>
        <w:rPr>
          <w:rFonts w:ascii="Georgia" w:hAnsi="Georgia"/>
          <w:b w:val="0"/>
          <w:color w:val="2F2E47"/>
          <w:sz w:val="21"/>
        </w:rPr>
        <w:t>Ninguna persona queda sin respuesta, y ningún número se bloquea sin autorización de la Dirección.</w:t>
      </w:r>
    </w:p>
    <w:p>
      <w:pPr>
        <w:pStyle w:val="ListBullet"/>
        <w:spacing w:before="0" w:after="60" w:line="300" w:lineRule="auto"/>
      </w:pPr>
      <w:r>
        <w:rPr>
          <w:rFonts w:ascii="Georgia" w:hAnsi="Georgia"/>
          <w:b w:val="0"/>
          <w:color w:val="2F2E47"/>
          <w:sz w:val="21"/>
        </w:rPr>
        <w:t>Frente a pacientes y a psicólogas y psicólogos que prestan servicios profesionales a la clínica,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referencias a las compañeras y compañeros, a las jefaturas, a la Dirección y a la clínica se expresan con respeto, también en su ausencia.</w:t>
      </w:r>
    </w:p>
    <w:p>
      <w:pPr>
        <w:pStyle w:val="ListBullet"/>
        <w:spacing w:before="0" w:after="60" w:line="300" w:lineRule="auto"/>
      </w:pPr>
      <w:r>
        <w:rPr>
          <w:rFonts w:ascii="Georgia" w:hAnsi="Georgia"/>
          <w:b w:val="0"/>
          <w:color w:val="2F2E47"/>
          <w:sz w:val="21"/>
        </w:rPr>
        <w:t>Las decisiones sobre la incorporación y la permanencia de colaboradores y profesionales corresponden a la Dirección.</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Frente a visitantes y proveedores, la comunicación sobre la clínica y su equipo es neutral y respetuosa.</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w:t>
      </w:r>
    </w:p>
    <w:p>
      <w:pPr>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w:t>
      </w:r>
    </w:p>
    <w:p>
      <w:pPr>
        <w:pStyle w:val="ListBullet"/>
        <w:spacing w:before="0" w:after="60" w:line="300" w:lineRule="auto"/>
      </w:pPr>
      <w:r>
        <w:rPr>
          <w:rFonts w:ascii="Georgia" w:hAnsi="Georgia"/>
          <w:b w:val="0"/>
          <w:color w:val="2F2E47"/>
          <w:sz w:val="21"/>
        </w:rPr>
        <w:t>La información salarial de cada persona es confidencial y se conversa en privado.</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 sobre las cargas sociales, obligatorias por ley:</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280" w:after="120" w:line="300" w:lineRule="auto"/>
        <w:pBdr>
          <w:bottom w:val="single" w:sz="6" w:space="4" w:color="D1D0CB"/>
        </w:pBdr>
      </w:pPr>
      <w:r>
        <w:rPr>
          <w:rFonts w:ascii="Safira March" w:hAnsi="Safira March"/>
          <w:color w:val="131237"/>
          <w:sz w:val="28"/>
        </w:rPr>
        <w:t>5. Un marco claro</w:t>
      </w:r>
    </w:p>
    <w:p>
      <w:pPr>
        <w:spacing w:before="0" w:after="120" w:line="300" w:lineRule="auto"/>
      </w:pPr>
      <w:r>
        <w:rPr>
          <w:rFonts w:ascii="Georgia" w:hAnsi="Georgia"/>
          <w:b w:val="0"/>
          <w:color w:val="2F2E47"/>
          <w:sz w:val="21"/>
        </w:rPr>
        <w:t>En Poïesis, conforme al Código de Trabajo, los incumplimientos se atienden de forma gradual y proporcional. Cada situación se conversa primero con la persona, y su versión se escucha. Si corresponde, se aplica una amonestación escrita. Cuando una falta es grave, o se repite después de haber sido advertida por escrito, la ley permite la terminación del contrato sin responsabilidad patronal.</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que no sea necesario aplicarlo, y confiamos en que así será.</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p>
      <w:pPr>
        <w:spacing w:before="0" w:after="120" w:line="300" w:lineRule="auto"/>
      </w:pPr>
      <w:r>
        <w:rPr>
          <w:rFonts w:ascii="Georgia" w:hAnsi="Georgia"/>
          <w:b w:val="0"/>
          <w:color w:val="2F2E47"/>
          <w:sz w:val="21"/>
        </w:rPr>
        <w:t>Con aprecio,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72"/>
      </w:tblGrid>
      <w:tr>
        <w:tc>
          <w:tcPr>
            <w:tcW w:type="dxa" w:w="9072"/>
          </w:tcPr>
          <w:p>
            <w:pPr>
              <w:spacing w:before="40" w:after="40" w:line="264" w:lineRule="auto"/>
            </w:pPr>
            <w:r>
              <w:rPr>
                <w:rFonts w:ascii="Georgia" w:hAnsi="Georgia"/>
                <w:b w:val="0"/>
                <w:color w:val="2F2E47"/>
                <w:sz w:val="19"/>
              </w:rPr>
              <w:t>______________________________</w:t>
            </w:r>
          </w:p>
        </w:tc>
      </w:tr>
      <w:tr>
        <w:tc>
          <w:tcPr>
            <w:tcW w:type="dxa" w:w="9072"/>
          </w:tcPr>
          <w:p>
            <w:pPr>
              <w:spacing w:before="40" w:after="40" w:line="264" w:lineRule="auto"/>
            </w:pPr>
            <w:r>
              <w:rPr>
                <w:rFonts w:ascii="Georgia" w:hAnsi="Georgia"/>
                <w:b w:val="0"/>
                <w:color w:val="2F2E47"/>
                <w:sz w:val="19"/>
              </w:rPr>
              <w:t>Fressy Mora Peñaranda</w:t>
            </w:r>
          </w:p>
        </w:tc>
      </w:tr>
      <w:tr>
        <w:tc>
          <w:tcPr>
            <w:tcW w:type="dxa" w:w="9072"/>
          </w:tcPr>
          <w:p>
            <w:pPr>
              <w:spacing w:before="40" w:after="40" w:line="264" w:lineRule="auto"/>
            </w:pPr>
            <w:r>
              <w:rPr>
                <w:rFonts w:ascii="Georgia" w:hAnsi="Georgia"/>
                <w:b w:val="0"/>
                <w:color w:val="2F2E47"/>
                <w:sz w:val="19"/>
              </w:rPr>
              <w:t>Asesoría Legal · Grupo Poïesis</w:t>
            </w:r>
          </w:p>
        </w:tc>
      </w:tr>
    </w:tbl>
    <w:p/>
    <w:p>
      <w:r>
        <w:br w:type="page"/>
      </w:r>
    </w:p>
    <w:p>
      <w:pPr>
        <w:spacing w:before="280" w:after="120" w:line="300" w:lineRule="auto"/>
        <w:pBdr>
          <w:bottom w:val="single" w:sz="6" w:space="4" w:color="D1D0CB"/>
        </w:pBdr>
      </w:pPr>
      <w:r>
        <w:rPr>
          <w:rFonts w:ascii="Safira March" w:hAnsi="Safira March"/>
          <w:color w:val="131237"/>
          <w:sz w:val="28"/>
        </w:rPr>
        <w:t>Acuse de recibo</w:t>
      </w:r>
    </w:p>
    <w:p>
      <w:pPr>
        <w:spacing w:before="0" w:after="120" w:line="300" w:lineRule="auto"/>
      </w:pPr>
      <w:r>
        <w:rPr>
          <w:rFonts w:ascii="Georgia" w:hAnsi="Georgia"/>
          <w:b w:val="0"/>
          <w:color w:val="2F2E47"/>
          <w:sz w:val="21"/>
        </w:rPr>
        <w:t>Mi firma indica que recibí y leí este comunicado.</w:t>
      </w:r>
    </w:p>
    <w:tbl>
      <w:tblPr>
        <w:tblW w:type="auto" w:w="0"/>
        <w:jc w:val="center"/>
        <w:tblLook w:firstColumn="1" w:firstRow="1" w:lastColumn="0" w:lastRow="0" w:noHBand="0" w:noVBand="1" w:val="04A0"/>
        <w:tblBorders>
          <w:top w:val="single" w:sz="4" w:color="D1D0CB"/>
          <w:left w:val="single" w:sz="4" w:color="D1D0CB"/>
          <w:bottom w:val="single" w:sz="4" w:color="D1D0CB"/>
          <w:right w:val="single" w:sz="4" w:color="D1D0CB"/>
          <w:insideH w:val="single" w:sz="4" w:color="D1D0CB"/>
          <w:insideV w:val="single" w:sz="4" w:color="D1D0CB"/>
        </w:tblBorders>
      </w:tblPr>
      <w:tblGrid>
        <w:gridCol w:w="2268"/>
        <w:gridCol w:w="2268"/>
        <w:gridCol w:w="2268"/>
        <w:gridCol w:w="2268"/>
      </w:tblGrid>
      <w:tr>
        <w:tc>
          <w:tcPr>
            <w:tcW w:type="dxa" w:w="2268"/>
            <w:shd w:val="clear" w:color="auto" w:fill="D1D0CB"/>
          </w:tcPr>
          <w:p>
            <w:pPr>
              <w:spacing w:before="40" w:after="40" w:line="264" w:lineRule="auto"/>
            </w:pPr>
            <w:r>
              <w:rPr>
                <w:rFonts w:ascii="Georgia" w:hAnsi="Georgia"/>
                <w:b/>
                <w:color w:val="131237"/>
                <w:sz w:val="19"/>
              </w:rPr>
              <w:t>Nombre</w:t>
            </w:r>
          </w:p>
        </w:tc>
        <w:tc>
          <w:tcPr>
            <w:tcW w:type="dxa" w:w="2268"/>
            <w:shd w:val="clear" w:color="auto" w:fill="D1D0CB"/>
          </w:tcPr>
          <w:p>
            <w:pPr>
              <w:spacing w:before="40" w:after="40" w:line="264" w:lineRule="auto"/>
            </w:pPr>
            <w:r>
              <w:rPr>
                <w:rFonts w:ascii="Georgia" w:hAnsi="Georgia"/>
                <w:b/>
                <w:color w:val="131237"/>
                <w:sz w:val="19"/>
              </w:rPr>
              <w:t>Cédula</w:t>
            </w:r>
          </w:p>
        </w:tc>
        <w:tc>
          <w:tcPr>
            <w:tcW w:type="dxa" w:w="2268"/>
            <w:shd w:val="clear" w:color="auto" w:fill="D1D0CB"/>
          </w:tcPr>
          <w:p>
            <w:pPr>
              <w:spacing w:before="40" w:after="40" w:line="264" w:lineRule="auto"/>
            </w:pPr>
            <w:r>
              <w:rPr>
                <w:rFonts w:ascii="Georgia" w:hAnsi="Georgia"/>
                <w:b/>
                <w:color w:val="131237"/>
                <w:sz w:val="19"/>
              </w:rPr>
              <w:t>Firma</w:t>
            </w:r>
          </w:p>
        </w:tc>
        <w:tc>
          <w:tcPr>
            <w:tcW w:type="dxa" w:w="2268"/>
            <w:shd w:val="clear" w:color="auto" w:fill="D1D0CB"/>
          </w:tcPr>
          <w:p>
            <w:pPr>
              <w:spacing w:before="40" w:after="40" w:line="264" w:lineRule="auto"/>
            </w:pPr>
            <w:r>
              <w:rPr>
                <w:rFonts w:ascii="Georgia" w:hAnsi="Georgia"/>
                <w:b/>
                <w:color w:val="131237"/>
                <w:sz w:val="19"/>
              </w:rPr>
              <w:t>Fecha</w:t>
            </w:r>
          </w:p>
        </w:tc>
      </w:tr>
      <w:tr>
        <w:tc>
          <w:tcPr>
            <w:tcW w:type="dxa" w:w="2268"/>
          </w:tcPr>
          <w:p>
            <w:pPr>
              <w:spacing w:before="40" w:after="40" w:line="264" w:lineRule="auto"/>
            </w:pPr>
            <w:r>
              <w:rPr>
                <w:rFonts w:ascii="Georgia" w:hAnsi="Georgia"/>
                <w:b w:val="0"/>
                <w:color w:val="2F2E47"/>
                <w:sz w:val="19"/>
              </w:rPr>
              <w:t>Kristell Carmona Soto</w:t>
            </w:r>
          </w:p>
        </w:tc>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r>
      <w:tr>
        <w:tc>
          <w:tcPr>
            <w:tcW w:type="dxa" w:w="2268"/>
          </w:tcPr>
          <w:p>
            <w:pPr>
              <w:spacing w:before="40" w:after="40" w:line="264" w:lineRule="auto"/>
            </w:pPr>
            <w:r>
              <w:rPr>
                <w:rFonts w:ascii="Georgia" w:hAnsi="Georgia"/>
                <w:b w:val="0"/>
                <w:color w:val="2F2E47"/>
                <w:sz w:val="19"/>
              </w:rPr>
              <w:t>Fiorella Varela Monge</w:t>
            </w:r>
          </w:p>
        </w:tc>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r>
      <w:tr>
        <w:tc>
          <w:tcPr>
            <w:tcW w:type="dxa" w:w="2268"/>
          </w:tcPr>
          <w:p>
            <w:pPr>
              <w:spacing w:before="40" w:after="40" w:line="264" w:lineRule="auto"/>
            </w:pPr>
            <w:r>
              <w:rPr>
                <w:rFonts w:ascii="Georgia" w:hAnsi="Georgia"/>
                <w:b w:val="0"/>
                <w:color w:val="2F2E47"/>
                <w:sz w:val="19"/>
              </w:rPr>
              <w:t>Angiolette Alcázar Mata</w:t>
            </w:r>
          </w:p>
        </w:tc>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r>
      <w:tr>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c>
          <w:tcPr>
            <w:tcW w:type="dxa" w:w="2268"/>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