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herramientas digitales</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ANGIOLETTE ALCÁZAR MATA</w:t>
      </w:r>
      <w:r>
        <w:rPr>
          <w:rFonts w:ascii="Georgia" w:hAnsi="Georgia"/>
          <w:b w:val="0"/>
          <w:color w:val="2F2E47"/>
          <w:sz w:val="21"/>
        </w:rPr>
        <w:t>, cédula de identidad ______________, actuando por cuenta propia como desarrolladora independiente de herramientas digitales,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herramientas digitales originales creadas por la Proveedora, como plantillas y modelos automatizados en hojas de cálculo,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Las operaciones de este contrato son distintas de las funciones del puesto. La Proveedora las ejecuta fuera de su jornada laboral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La Proveedora trabaja con equipos propios o legítimamente a su disposición. Los programas, complementos y materiales de terceros que utilice siguen sujetos a los derechos de sus titulares. La Proveedora es titular de sus creaciones originales, y la Adquirente recibe solo los derechos que se conceden conforme a la cláusula sétima.</w:t>
      </w:r>
    </w:p>
    <w:p>
      <w:pPr>
        <w:spacing w:before="0" w:after="120" w:line="300" w:lineRule="auto"/>
      </w:pPr>
      <w:r>
        <w:rPr>
          <w:rFonts w:ascii="Georgia" w:hAnsi="Georgia"/>
          <w:b w:val="0"/>
          <w:color w:val="2F2E47"/>
          <w:sz w:val="21"/>
        </w:rPr>
        <w:t>No forman parte de este contrato las hojas de cálculo, los registros ni los reportes que la Proveedora prepara o actualiza como parte de su trabajo, aunque para ello use productos adquiridos mediante este contrato. Tampoco se adquieren por esta vía productos elaborados como parte de una tarea asignada en su puesto.</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La constancia de inscripción de la Proveedora ante el Ministerio de Hacienda forma parte de este contrato como anexo 2.</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la documentación y el soporte posterior a la entrega, si se pactan.</w:t>
      </w:r>
    </w:p>
    <w:p>
      <w:pPr>
        <w:spacing w:before="0" w:after="120" w:line="300" w:lineRule="auto"/>
      </w:pPr>
      <w:r>
        <w:rPr>
          <w:rFonts w:ascii="Georgia" w:hAnsi="Georgia"/>
          <w:b w:val="0"/>
          <w:color w:val="2F2E47"/>
          <w:sz w:val="21"/>
        </w:rPr>
        <w:t>No existe un número mínimo de órdenes ni un pago periódico garantizado.</w:t>
      </w:r>
    </w:p>
    <w:p>
      <w:pPr>
        <w:keepNext/>
        <w:spacing w:before="280" w:after="120" w:line="300" w:lineRule="auto"/>
        <w:pBdr>
          <w:bottom w:val="single" w:sz="6" w:space="4" w:color="D1D0CB"/>
        </w:pBdr>
      </w:pPr>
      <w:r>
        <w:rPr>
          <w:rFonts w:ascii="Safira March" w:hAnsi="Safira March"/>
          <w:color w:val="131237"/>
          <w:sz w:val="28"/>
        </w:rPr>
        <w:t>Cuarta. Recursos y datos</w:t>
      </w:r>
    </w:p>
    <w:p>
      <w:pPr>
        <w:spacing w:before="0" w:after="120" w:line="300" w:lineRule="auto"/>
      </w:pPr>
      <w:r>
        <w:rPr>
          <w:rFonts w:ascii="Georgia" w:hAnsi="Georgia"/>
          <w:b w:val="0"/>
          <w:color w:val="2F2E47"/>
          <w:sz w:val="21"/>
        </w:rPr>
        <w:t>Si un producto requiere usar equipos, sistemas o licencias de la Adquirente, la autorización consta por escrito en la orden, con los recursos y el periodo de uso, fuera de la jornada laboral de la Proveedora.</w:t>
      </w:r>
    </w:p>
    <w:p>
      <w:pPr>
        <w:spacing w:before="0" w:after="120" w:line="300" w:lineRule="auto"/>
      </w:pPr>
      <w:r>
        <w:rPr>
          <w:rFonts w:ascii="Georgia" w:hAnsi="Georgia"/>
          <w:b w:val="0"/>
          <w:color w:val="2F2E47"/>
          <w:sz w:val="21"/>
        </w:rPr>
        <w:t>La Proveedora desarrolla y prueba los productos con datos ficticios. Ningún producto se entrega con datos de pacientes ni con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se hace en el correo o la carpeta digital que designe la orden, y es completa cuando comprende el archivo editable, con sus fórmulas y automatizaciones accesibles, y una guía breve de uso. El plazo de revisión corre desde que el producto completo queda disponible en ese canal, con constancia del envío. Si un archivo no se puede abrir o está incompleto, la Adquirente lo comunica dentro de los dos días hábiles siguientes, y el plazo corre desde el nuevo envío.</w:t>
      </w:r>
    </w:p>
    <w:p>
      <w:pPr>
        <w:spacing w:before="0" w:after="120" w:line="300" w:lineRule="auto"/>
      </w:pPr>
      <w:r>
        <w:rPr>
          <w:rFonts w:ascii="Georgia" w:hAnsi="Georgia"/>
          <w:b w:val="0"/>
          <w:color w:val="2F2E47"/>
          <w:sz w:val="21"/>
        </w:rPr>
        <w:t>Durante el plazo de revisión, de cinco días hábiles, la Adquirente acepta el producto o formula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ni por infracciones a derechos de terceros.</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y es exigible cuando el producto está aceptado y la Adquirente ha recibido el comprobante electrónico correspondiente. La Adquirente paga en sus días de pago a proveedores, miércoles o jueves, a más tardar el jueves inmediato siguiente a la fecha en que se cumplan ambas condiciones. Si ese día es feriado, el pago se hace el día hábil siguiente.</w:t>
      </w:r>
    </w:p>
    <w:p>
      <w:pPr>
        <w:spacing w:before="0" w:after="120" w:line="300" w:lineRule="auto"/>
      </w:pPr>
      <w:r>
        <w:rPr>
          <w:rFonts w:ascii="Georgia" w:hAnsi="Georgia"/>
          <w:b w:val="0"/>
          <w:color w:val="2F2E47"/>
          <w:sz w:val="21"/>
        </w:rPr>
        <w:t>Si el comprobante contiene un error, la Adquirente lo comunica dentro de los dos días hábiles siguientes a su recepción, y el plazo de pago corre desde que recibe el comprobante corregido.</w:t>
      </w:r>
    </w:p>
    <w:p>
      <w:pPr>
        <w:spacing w:before="0" w:after="120" w:line="300" w:lineRule="auto"/>
      </w:pPr>
      <w:r>
        <w:rPr>
          <w:rFonts w:ascii="Georgia" w:hAnsi="Georgia"/>
          <w:b w:val="0"/>
          <w:color w:val="2F2E47"/>
          <w:sz w:val="21"/>
        </w:rPr>
        <w:t>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identifica el producto e indica si la Proveedora concede una licencia de uso o cede los derechos patrimoniales. La cesión solo existe si la orden la pacta de forma expresa.</w:t>
      </w:r>
    </w:p>
    <w:p>
      <w:pPr>
        <w:spacing w:before="0" w:after="120" w:line="300" w:lineRule="auto"/>
      </w:pPr>
      <w:r>
        <w:rPr>
          <w:rFonts w:ascii="Georgia" w:hAnsi="Georgia"/>
          <w:b w:val="0"/>
          <w:color w:val="2F2E47"/>
          <w:sz w:val="21"/>
        </w:rPr>
        <w:t>Salvo que la orden disponga otra cosa, la Proveedora concede a la Adquirente una licencia no exclusiva, de alcance mundial y por todo el plazo de protección legal, para reproducir, instalar, usar, modificar y adaptar el producto, incluidas sus fórmulas y automatizaciones, en las operaciones de Grupo Poïesis y de sus sedes.</w:t>
      </w:r>
    </w:p>
    <w:p>
      <w:pPr>
        <w:spacing w:before="0" w:after="120" w:line="300" w:lineRule="auto"/>
      </w:pPr>
      <w:r>
        <w:rPr>
          <w:rFonts w:ascii="Georgia" w:hAnsi="Georgia"/>
          <w:b w:val="0"/>
          <w:color w:val="2F2E47"/>
          <w:sz w:val="21"/>
        </w:rPr>
        <w:t>La licencia comprende el producto final entregado. Incluye el archivo editable, con sus fórmulas y automatizaciones. La orden puede ampliar, limitar o precisar los derechos concedidos.</w:t>
      </w:r>
    </w:p>
    <w:p>
      <w:pPr>
        <w:spacing w:before="0" w:after="120" w:line="300" w:lineRule="auto"/>
      </w:pPr>
      <w:r>
        <w:rPr>
          <w:rFonts w:ascii="Georgia" w:hAnsi="Georgia"/>
          <w:b w:val="0"/>
          <w:color w:val="2F2E47"/>
          <w:sz w:val="21"/>
        </w:rPr>
        <w:t>La licencia no exclusiva no autoriza a la Proveedora a divulgar, reutilizar ni incluir en productos para terceros información confidencial, datos personales, configuraciones internas ni materiales de la Adquirente.</w:t>
      </w:r>
    </w:p>
    <w:p>
      <w:pPr>
        <w:spacing w:before="0" w:after="120" w:line="300" w:lineRule="auto"/>
      </w:pPr>
      <w:r>
        <w:rPr>
          <w:rFonts w:ascii="Georgia" w:hAnsi="Georgia"/>
          <w:b w:val="0"/>
          <w:color w:val="2F2E47"/>
          <w:sz w:val="21"/>
        </w:rPr>
        <w:t>La Proveedora concede solo los derechos de los que es titular. Garantiza que los materiales de terceros incorporados, incluidos código, complementos y automatizaciones de terceros, cuentan con licencia o son de uso libre, y que cuenta con las autorizaciones y, cuando corresponda, con la cesión o licencia de los aportes creativos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puede resolver la orden afectada y reclamar los daños que acredite, conforme a la ley.</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renueva automáticamente por periodos iguales, salvo que una de las partes comunique por escrito lo contrario con quince días naturales de anticipación. Las órdenes aceptadas antes del aviso se cumplen en sus términos.</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keepNext/>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keepNext/>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keepNext/>
        <w:spacing w:before="0" w:after="120" w:line="300" w:lineRule="auto"/>
      </w:pPr>
      <w:r>
        <w:rPr>
          <w:rFonts w:ascii="Georgia" w:hAnsi="Georgia"/>
          <w:b w:val="0"/>
          <w:color w:val="2F2E47"/>
          <w:sz w:val="21"/>
        </w:rPr>
        <w:t>Firmamos en dos tantos de igual valor, en San José, el ____ de ______________ de 2026.</w:t>
      </w:r>
    </w:p>
    <w:p>
      <w:pPr>
        <w:keepNext/>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Angiolette Alcázar Mata</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pPr>
        <w:keepNext/>
        <w:spacing w:before="280" w:after="120" w:line="300" w:lineRule="auto"/>
        <w:pageBreakBefore/>
        <w:pBdr>
          <w:bottom w:val="single" w:sz="6" w:space="4" w:color="D1D0CB"/>
        </w:pBdr>
      </w:pPr>
      <w:r>
        <w:rPr>
          <w:rFonts w:ascii="Safira March" w:hAnsi="Safira March"/>
          <w:color w:val="131237"/>
          <w:sz w:val="28"/>
        </w:rPr>
        <w:t>Anexo 1.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Documentación y soporte</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p>
      <w:pPr>
        <w:keepNext/>
        <w:spacing w:before="280" w:after="120" w:line="300" w:lineRule="auto"/>
        <w:pageBreakBefore/>
        <w:pBdr>
          <w:bottom w:val="single" w:sz="6" w:space="4" w:color="D1D0CB"/>
        </w:pBdr>
      </w:pPr>
      <w:r>
        <w:rPr>
          <w:rFonts w:ascii="Safira March" w:hAnsi="Safira March"/>
          <w:color w:val="131237"/>
          <w:sz w:val="28"/>
        </w:rPr>
        <w:t>Anexo 2. Inscripción tributaria de la Proveedora</w:t>
      </w:r>
    </w:p>
    <w:p>
      <w:pPr>
        <w:spacing w:before="0" w:after="120" w:line="300" w:lineRule="auto"/>
      </w:pPr>
      <w:r>
        <w:rPr>
          <w:rFonts w:ascii="Georgia" w:hAnsi="Georgia"/>
          <w:b w:val="0"/>
          <w:color w:val="2F2E47"/>
          <w:sz w:val="21"/>
        </w:rPr>
        <w:t>Se adjunta la constancia de inscripción de la Proveedora en el Registro Único Tributario del Ministerio de Hacienda.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w:t>
            </w:r>
          </w:p>
        </w:tc>
        <w:tc>
          <w:tcPr>
            <w:tcW w:type="dxa" w:w="4536"/>
          </w:tcPr>
          <w:p>
            <w:pPr>
              <w:spacing w:before="40" w:after="40" w:line="264" w:lineRule="auto"/>
            </w:pPr>
            <w:r>
              <w:rPr>
                <w:rFonts w:ascii="Georgia" w:hAnsi="Georgia"/>
                <w:b w:val="0"/>
                <w:color w:val="2F2E47"/>
                <w:sz w:val="19"/>
              </w:rPr>
              <w:t>Angiolette Alcázar Mata</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r>
              <w:rPr>
                <w:rFonts w:ascii="Georgia" w:hAnsi="Georgia"/>
                <w:b w:val="0"/>
                <w:color w:val="2F2E47"/>
                <w:sz w:val="19"/>
              </w:rPr>
              <w:t>______________</w:t>
            </w:r>
          </w:p>
        </w:tc>
      </w:tr>
      <w:tr>
        <w:tc>
          <w:tcPr>
            <w:tcW w:type="dxa" w:w="4536"/>
          </w:tcPr>
          <w:p>
            <w:pPr>
              <w:spacing w:before="40" w:after="40" w:line="264" w:lineRule="auto"/>
            </w:pPr>
            <w:r>
              <w:rPr>
                <w:rFonts w:ascii="Georgia" w:hAnsi="Georgia"/>
                <w:b w:val="0"/>
                <w:color w:val="5C6684"/>
                <w:sz w:val="19"/>
              </w:rPr>
              <w:t>Actividad económica inscrita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Régimen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la constancia</w:t>
            </w:r>
          </w:p>
        </w:tc>
        <w:tc>
          <w:tcPr>
            <w:tcW w:type="dxa" w:w="4536"/>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