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episodios de podcast</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FIORELLA MARÍA VARELA MONGE</w:t>
      </w:r>
      <w:r>
        <w:rPr>
          <w:rFonts w:ascii="Georgia" w:hAnsi="Georgia"/>
          <w:b w:val="0"/>
          <w:color w:val="2F2E47"/>
          <w:sz w:val="21"/>
        </w:rPr>
        <w:t>, cédula de identidad 1-1867-0233, actuando por cuenta propia como creadora de contenido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episodios de podcast creados por la Proveedora,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con sus propios medios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los temas, las personas invitadas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Grabación, invitados y datos</w:t>
      </w:r>
    </w:p>
    <w:p>
      <w:pPr>
        <w:spacing w:before="0" w:after="120" w:line="300" w:lineRule="auto"/>
      </w:pPr>
      <w:r>
        <w:rPr>
          <w:rFonts w:ascii="Georgia" w:hAnsi="Georgia"/>
          <w:b w:val="0"/>
          <w:color w:val="2F2E47"/>
          <w:sz w:val="21"/>
        </w:rPr>
        <w:t>Si un episodio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La Proveedora organiza la grabación y la edición. Cuando el episodio se publica con la marca de la Adquirente, los temas y las personas invitadas se acuerdan en la orden, y la Adquirente revisa el contenido antes de publicarlo.</w:t>
      </w:r>
    </w:p>
    <w:p>
      <w:pPr>
        <w:spacing w:before="0" w:after="120" w:line="300" w:lineRule="auto"/>
      </w:pPr>
      <w:r>
        <w:rPr>
          <w:rFonts w:ascii="Georgia" w:hAnsi="Georgia"/>
          <w:b w:val="0"/>
          <w:color w:val="2F2E47"/>
          <w:sz w:val="21"/>
        </w:rPr>
        <w:t>Cada persona invitada participa de forma voluntaria y con autorización escrita para el uso de su voz, su imagen y su intervención. La Proveedora gestiona esas autorizaciones y las entrega con el episodio.</w:t>
      </w:r>
    </w:p>
    <w:p>
      <w:pPr>
        <w:spacing w:before="0" w:after="120" w:line="300" w:lineRule="auto"/>
      </w:pPr>
      <w:r>
        <w:rPr>
          <w:rFonts w:ascii="Georgia" w:hAnsi="Georgia"/>
          <w:b w:val="0"/>
          <w:color w:val="2F2E47"/>
          <w:sz w:val="21"/>
        </w:rPr>
        <w:t>Ningún paciente participa en los episodios, no se mencionan casos identificables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es completa cuando la Adquirente recibe, por el canal indicado en la orden, el archivo final, la música y demás materiales con su licencia, y las autorizaciones pactados. Desde ese momento dispone de cinco días hábiles para aceptar el producto o formular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correspondiente, y la Adquirente paga dentro de los ocho días naturales siguientes a la aceptación y a la recepción del comprobante.</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indica si la Adquirente adquiere los derechos patrimoniales del producto o una licencia de uso, y precisa las modalidades de utilización (reproducción, distribución, comunicación pública y transformación), la exclusividad, el territorio y la duración.</w:t>
      </w:r>
    </w:p>
    <w:p>
      <w:pPr>
        <w:spacing w:before="0" w:after="120" w:line="300" w:lineRule="auto"/>
      </w:pPr>
      <w:r>
        <w:rPr>
          <w:rFonts w:ascii="Georgia" w:hAnsi="Georgia"/>
          <w:b w:val="0"/>
          <w:color w:val="2F2E47"/>
          <w:sz w:val="21"/>
        </w:rPr>
        <w:t>Si la orden no precisa alguno de esos elementos, se entiende concedida a la Adquirente una licencia exclusiva para sus fines institucionales, en cualquier medio y territorio, por todo el plazo de protección legal.</w:t>
      </w:r>
    </w:p>
    <w:p>
      <w:pPr>
        <w:spacing w:before="0" w:after="120" w:line="300" w:lineRule="auto"/>
      </w:pPr>
      <w:r>
        <w:rPr>
          <w:rFonts w:ascii="Georgia" w:hAnsi="Georgia"/>
          <w:b w:val="0"/>
          <w:color w:val="2F2E47"/>
          <w:sz w:val="21"/>
        </w:rPr>
        <w:t>La Proveedora garantiza que tiene derechos suficientes para conceder lo pactado, que los materiales de terceros incorporados cuentan con licencia o son de uso libre, y que cuenta con las autorizaciones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prorroga por periodos iguales, salvo aviso escrito de cualquiera de las partes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r>
        <w:br w:type="page"/>
      </w:r>
    </w:p>
    <w:p>
      <w:pPr>
        <w:keepNext/>
        <w:spacing w:before="280" w:after="120" w:line="300" w:lineRule="auto"/>
        <w:pBdr>
          <w:bottom w:val="single" w:sz="6" w:space="4" w:color="D1D0CB"/>
        </w:pBdr>
      </w:pPr>
      <w:r>
        <w:rPr>
          <w:rFonts w:ascii="Safira March" w:hAnsi="Safira March"/>
          <w:color w:val="131237"/>
          <w:sz w:val="28"/>
        </w:rPr>
        <w:t>Anexo.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Temas, invitados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