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con sus propios medios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es completa cuando la Adquirente recibe, por el canal indicado en la orden, el archivo final y las autorizaciones pactados. Desde ese momento dispone de cinco días hábiles para aceptar el producto o formular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y la Adquirente paga dentro de los ocho días naturales siguientes a la aceptación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indica si la Adquirente adquiere los derechos patrimoniales del producto o una licencia de uso, y precisa las modalidades de utilización (reproducción, distribución, comunicación pública y transformación), la exclusividad, el territorio y la duración.</w:t>
      </w:r>
    </w:p>
    <w:p>
      <w:pPr>
        <w:spacing w:before="0" w:after="120" w:line="300" w:lineRule="auto"/>
      </w:pPr>
      <w:r>
        <w:rPr>
          <w:rFonts w:ascii="Georgia" w:hAnsi="Georgia"/>
          <w:b w:val="0"/>
          <w:color w:val="2F2E47"/>
          <w:sz w:val="21"/>
        </w:rPr>
        <w:t>Si la orden no precisa alguno de esos elementos, se entiende concedida a la Adquirente una licencia exclusiva para sus fines institucionales, en cualquier medio y territorio, por todo el plazo de protección legal.</w:t>
      </w:r>
    </w:p>
    <w:p>
      <w:pPr>
        <w:spacing w:before="0" w:after="120" w:line="300" w:lineRule="auto"/>
      </w:pPr>
      <w:r>
        <w:rPr>
          <w:rFonts w:ascii="Georgia" w:hAnsi="Georgia"/>
          <w:b w:val="0"/>
          <w:color w:val="2F2E47"/>
          <w:sz w:val="21"/>
        </w:rPr>
        <w:t>La Proveedora garantiza que tiene derechos suficientes para conceder lo pactado, que los materiales de terceros incorporados cuentan con licencia o son de uso libre, y que cuenta con las autorizaciones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r>
        <w:br w:type="page"/>
      </w:r>
    </w:p>
    <w:p>
      <w:pPr>
        <w:keepNext/>
        <w:spacing w:before="280" w:after="120" w:line="300" w:lineRule="auto"/>
        <w:pBdr>
          <w:bottom w:val="single" w:sz="6" w:space="4" w:color="D1D0CB"/>
        </w:pBdr>
      </w:pPr>
      <w:r>
        <w:rPr>
          <w:rFonts w:ascii="Safira March" w:hAnsi="Safira March"/>
          <w:color w:val="131237"/>
          <w:sz w:val="28"/>
        </w:rPr>
        <w:t>Anexo.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